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4BA" w:rsidRDefault="00D91481">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19" name="Rectangle 19"/>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8624BA" w:rsidRDefault="008624B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9"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X8KGgOQBAACtAwAADgAAAAAAAAAAAAAAAAAuAgAAZHJzL2Uyb0RvYy54bWxQSwEC&#10;LQAUAAYACAAAACEAPKF55t4AAAAMAQAADwAAAAAAAAAAAAAAAAA+BAAAZHJzL2Rvd25yZXYueG1s&#10;UEsFBgAAAAAEAAQA8wAAAEkFAAAAAA==&#10;" fillcolor="#73c130" stroked="f">
                <v:textbox inset="2.53958mm,2.53958mm,2.53958mm,2.53958mm">
                  <w:txbxContent>
                    <w:p w:rsidR="008624BA" w:rsidRDefault="008624BA">
                      <w:pPr>
                        <w:spacing w:after="0" w:line="240" w:lineRule="auto"/>
                        <w:textDirection w:val="btLr"/>
                      </w:pPr>
                    </w:p>
                  </w:txbxContent>
                </v:textbox>
              </v:rect>
            </w:pict>
          </mc:Fallback>
        </mc:AlternateContent>
      </w:r>
    </w:p>
    <w:p w:rsidR="008624BA" w:rsidRDefault="000635A5">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-638175</wp:posOffset>
                </wp:positionH>
                <wp:positionV relativeFrom="paragraph">
                  <wp:posOffset>189230</wp:posOffset>
                </wp:positionV>
                <wp:extent cx="7296785" cy="3209925"/>
                <wp:effectExtent l="0" t="0" r="0" b="9525"/>
                <wp:wrapSquare wrapText="bothSides" distT="0" distB="0" distL="114300" distR="114300"/>
                <wp:docPr id="20" name="Rectangle 20"/>
                <wp:cNvGraphicFramePr/>
                <a:graphic xmlns:a="http://schemas.openxmlformats.org/drawingml/2006/main">
                  <a:graphicData uri="http://schemas.microsoft.com/office/word/2010/wordprocessingShape">
                    <wps:wsp>
                      <wps:cNvSpPr/>
                      <wps:spPr>
                        <a:xfrm>
                          <a:off x="0" y="0"/>
                          <a:ext cx="7296785" cy="3209925"/>
                        </a:xfrm>
                        <a:prstGeom prst="rect">
                          <a:avLst/>
                        </a:prstGeom>
                        <a:solidFill>
                          <a:srgbClr val="4E5992"/>
                        </a:solidFill>
                        <a:ln>
                          <a:noFill/>
                        </a:ln>
                      </wps:spPr>
                      <wps:txbx>
                        <w:txbxContent>
                          <w:p w:rsidR="000635A5" w:rsidRDefault="000635A5" w:rsidP="00061DD4">
                            <w:pPr>
                              <w:spacing w:after="0" w:line="240" w:lineRule="auto"/>
                              <w:ind w:right="-720"/>
                              <w:textDirection w:val="btLr"/>
                              <w:rPr>
                                <w:rFonts w:ascii="Arial" w:eastAsia="Arial" w:hAnsi="Arial" w:cs="Arial"/>
                                <w:b/>
                                <w:color w:val="FFFFFF"/>
                                <w:sz w:val="20"/>
                              </w:rPr>
                            </w:pPr>
                          </w:p>
                          <w:p w:rsidR="008624BA" w:rsidRDefault="00D91481">
                            <w:pPr>
                              <w:spacing w:line="240" w:lineRule="auto"/>
                              <w:ind w:right="-720"/>
                              <w:textDirection w:val="btLr"/>
                            </w:pPr>
                            <w:r>
                              <w:rPr>
                                <w:rFonts w:ascii="Arial" w:eastAsia="Arial" w:hAnsi="Arial" w:cs="Arial"/>
                                <w:b/>
                                <w:color w:val="FFFFFF"/>
                                <w:sz w:val="20"/>
                              </w:rPr>
                              <w:t>This part of the Navigator Playbook is completed when you have:</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one or more energy performance indicators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for your organization. If relevant variables significantly affect energy consumption, normalized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an energy baseline (</w:t>
                            </w:r>
                            <w:proofErr w:type="spellStart"/>
                            <w:r w:rsidRPr="000635A5">
                              <w:rPr>
                                <w:rFonts w:ascii="Arial" w:eastAsia="Arial" w:hAnsi="Arial" w:cs="Arial"/>
                                <w:b/>
                                <w:color w:val="FFFFFF"/>
                                <w:sz w:val="20"/>
                              </w:rPr>
                              <w:t>EnB</w:t>
                            </w:r>
                            <w:proofErr w:type="spellEnd"/>
                            <w:r w:rsidRPr="000635A5">
                              <w:rPr>
                                <w:rFonts w:ascii="Arial" w:eastAsia="Arial" w:hAnsi="Arial" w:cs="Arial"/>
                                <w:b/>
                                <w:color w:val="FFFFFF"/>
                                <w:sz w:val="20"/>
                              </w:rPr>
                              <w:t xml:space="preserve">) for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in order to later determine energy performance improvement.</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Communicated proposed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and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xml:space="preserve"> to top management so they can ensure the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and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xml:space="preserve"> are appropriate for the organization.</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Recorded and regularly reviewed the method used to determine and update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and established the conditions under which adjustments to the baseline(s) will be made.</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Compared </w:t>
                            </w:r>
                            <w:proofErr w:type="spellStart"/>
                            <w:r w:rsidRPr="000635A5">
                              <w:rPr>
                                <w:rFonts w:ascii="Arial" w:eastAsia="Arial" w:hAnsi="Arial" w:cs="Arial"/>
                                <w:b/>
                                <w:color w:val="FFFFFF"/>
                                <w:sz w:val="20"/>
                              </w:rPr>
                              <w:t>EnPI</w:t>
                            </w:r>
                            <w:proofErr w:type="spellEnd"/>
                            <w:r w:rsidRPr="000635A5">
                              <w:rPr>
                                <w:rFonts w:ascii="Arial" w:eastAsia="Arial" w:hAnsi="Arial" w:cs="Arial"/>
                                <w:b/>
                                <w:color w:val="FFFFFF"/>
                                <w:sz w:val="20"/>
                              </w:rPr>
                              <w:t xml:space="preserve"> values to their respective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xml:space="preserve"> on a regular basis.</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Implemented a process for ongoing monitoring, measurement and analysis of your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and energy performance improvement.</w:t>
                            </w:r>
                          </w:p>
                          <w:p w:rsidR="008624BA" w:rsidRDefault="008624BA">
                            <w:pPr>
                              <w:spacing w:after="0" w:line="240" w:lineRule="auto"/>
                              <w:ind w:right="-143"/>
                              <w:textDirection w:val="btLr"/>
                            </w:pPr>
                          </w:p>
                          <w:p w:rsidR="008624BA" w:rsidRPr="000635A5" w:rsidRDefault="00D91481" w:rsidP="000635A5">
                            <w:pPr>
                              <w:pStyle w:val="ListParagraph"/>
                              <w:numPr>
                                <w:ilvl w:val="0"/>
                                <w:numId w:val="4"/>
                              </w:numPr>
                              <w:spacing w:line="240" w:lineRule="auto"/>
                              <w:ind w:left="720" w:right="-150"/>
                              <w:textDirection w:val="btLr"/>
                              <w:rPr>
                                <w:color w:val="FFFFFF" w:themeColor="background1"/>
                              </w:rPr>
                            </w:pPr>
                            <w:r w:rsidRPr="000635A5">
                              <w:rPr>
                                <w:rFonts w:ascii="Arial" w:eastAsia="Arial" w:hAnsi="Arial" w:cs="Arial"/>
                                <w:b/>
                                <w:color w:val="FFFFFF" w:themeColor="background1"/>
                                <w:sz w:val="20"/>
                              </w:rPr>
                              <w:t xml:space="preserve">If you are planning on seeking U.S. DOE 50001 Ready recognition for this project please refer to the, “Get Ready Recognized,” page of the 50001 Ready Navigator to ensure you select an </w:t>
                            </w:r>
                            <w:proofErr w:type="spellStart"/>
                            <w:r w:rsidRPr="000635A5">
                              <w:rPr>
                                <w:rFonts w:ascii="Arial" w:eastAsia="Arial" w:hAnsi="Arial" w:cs="Arial"/>
                                <w:b/>
                                <w:color w:val="FFFFFF" w:themeColor="background1"/>
                                <w:sz w:val="20"/>
                              </w:rPr>
                              <w:t>EnPI</w:t>
                            </w:r>
                            <w:proofErr w:type="spellEnd"/>
                            <w:r w:rsidRPr="000635A5">
                              <w:rPr>
                                <w:rFonts w:ascii="Arial" w:eastAsia="Arial" w:hAnsi="Arial" w:cs="Arial"/>
                                <w:b/>
                                <w:color w:val="FFFFFF" w:themeColor="background1"/>
                                <w:sz w:val="20"/>
                              </w:rPr>
                              <w:t xml:space="preserve">, </w:t>
                            </w:r>
                            <w:proofErr w:type="spellStart"/>
                            <w:r w:rsidRPr="000635A5">
                              <w:rPr>
                                <w:rFonts w:ascii="Arial" w:eastAsia="Arial" w:hAnsi="Arial" w:cs="Arial"/>
                                <w:b/>
                                <w:color w:val="FFFFFF" w:themeColor="background1"/>
                                <w:sz w:val="20"/>
                              </w:rPr>
                              <w:t>EnB</w:t>
                            </w:r>
                            <w:proofErr w:type="spellEnd"/>
                            <w:r w:rsidRPr="000635A5">
                              <w:rPr>
                                <w:rFonts w:ascii="Arial" w:eastAsia="Arial" w:hAnsi="Arial" w:cs="Arial"/>
                                <w:b/>
                                <w:color w:val="FFFFFF" w:themeColor="background1"/>
                                <w:sz w:val="20"/>
                              </w:rPr>
                              <w:t>, and method for demonstrating energy performance improvement allowed by the recognition program. To achieve Ready recognition energy performance improvement is demonstrated for the same scope and boundaries as your 50001 Ready EnMS.</w:t>
                            </w:r>
                          </w:p>
                          <w:p w:rsidR="008624BA" w:rsidRDefault="008624BA">
                            <w:pPr>
                              <w:spacing w:line="240" w:lineRule="auto"/>
                              <w:ind w:right="-150"/>
                              <w:textDirection w:val="btLr"/>
                            </w:pPr>
                          </w:p>
                          <w:p w:rsidR="008624BA" w:rsidRDefault="008624BA">
                            <w:pPr>
                              <w:spacing w:line="240" w:lineRule="auto"/>
                              <w:ind w:right="-150"/>
                              <w:textDirection w:val="btLr"/>
                            </w:pPr>
                          </w:p>
                          <w:p w:rsidR="008624BA" w:rsidRDefault="008624BA">
                            <w:pPr>
                              <w:spacing w:line="240" w:lineRule="auto"/>
                              <w:ind w:left="-810" w:right="-72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20" o:spid="_x0000_s1027" style="position:absolute;left:0;text-align:left;margin-left:-50.25pt;margin-top:14.9pt;width:574.55pt;height:25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" fillcolor="#4e5992" stroked="f">
                <v:textbox inset="2.53958mm,1.2694mm,2.53958mm,1.2694mm">
                  <w:txbxContent>
                    <w:p w:rsidR="000635A5" w:rsidRDefault="000635A5" w:rsidP="00061DD4">
                      <w:pPr>
                        <w:spacing w:after="0" w:line="240" w:lineRule="auto"/>
                        <w:ind w:right="-720"/>
                        <w:textDirection w:val="btLr"/>
                        <w:rPr>
                          <w:rFonts w:ascii="Arial" w:eastAsia="Arial" w:hAnsi="Arial" w:cs="Arial"/>
                          <w:b/>
                          <w:color w:val="FFFFFF"/>
                          <w:sz w:val="20"/>
                        </w:rPr>
                      </w:pPr>
                    </w:p>
                    <w:p w:rsidR="008624BA" w:rsidRDefault="00D91481">
                      <w:pPr>
                        <w:spacing w:line="240" w:lineRule="auto"/>
                        <w:ind w:right="-720"/>
                        <w:textDirection w:val="btLr"/>
                      </w:pPr>
                      <w:r>
                        <w:rPr>
                          <w:rFonts w:ascii="Arial" w:eastAsia="Arial" w:hAnsi="Arial" w:cs="Arial"/>
                          <w:b/>
                          <w:color w:val="FFFFFF"/>
                          <w:sz w:val="20"/>
                        </w:rPr>
                        <w:t>This part of the Navigator Playbook is completed when you have:</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one or more energy performance indicators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for your organization. If relevant variables significantly affect energy consumption, normalized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Developed an energy baseline (</w:t>
                      </w:r>
                      <w:proofErr w:type="spellStart"/>
                      <w:r w:rsidRPr="000635A5">
                        <w:rPr>
                          <w:rFonts w:ascii="Arial" w:eastAsia="Arial" w:hAnsi="Arial" w:cs="Arial"/>
                          <w:b/>
                          <w:color w:val="FFFFFF"/>
                          <w:sz w:val="20"/>
                        </w:rPr>
                        <w:t>EnB</w:t>
                      </w:r>
                      <w:proofErr w:type="spellEnd"/>
                      <w:r w:rsidRPr="000635A5">
                        <w:rPr>
                          <w:rFonts w:ascii="Arial" w:eastAsia="Arial" w:hAnsi="Arial" w:cs="Arial"/>
                          <w:b/>
                          <w:color w:val="FFFFFF"/>
                          <w:sz w:val="20"/>
                        </w:rPr>
                        <w:t xml:space="preserve">) for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in order to later determine energy performance improvement.</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Communicated proposed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and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xml:space="preserve"> to top management so they can ensure the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and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xml:space="preserve"> are appropriate for the organization.</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Recorded and regularly reviewed the method used to determine and update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and established the conditions under which adjustments to the baseline(s) will be made.</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Compared </w:t>
                      </w:r>
                      <w:proofErr w:type="spellStart"/>
                      <w:r w:rsidRPr="000635A5">
                        <w:rPr>
                          <w:rFonts w:ascii="Arial" w:eastAsia="Arial" w:hAnsi="Arial" w:cs="Arial"/>
                          <w:b/>
                          <w:color w:val="FFFFFF"/>
                          <w:sz w:val="20"/>
                        </w:rPr>
                        <w:t>EnPI</w:t>
                      </w:r>
                      <w:proofErr w:type="spellEnd"/>
                      <w:r w:rsidRPr="000635A5">
                        <w:rPr>
                          <w:rFonts w:ascii="Arial" w:eastAsia="Arial" w:hAnsi="Arial" w:cs="Arial"/>
                          <w:b/>
                          <w:color w:val="FFFFFF"/>
                          <w:sz w:val="20"/>
                        </w:rPr>
                        <w:t xml:space="preserve"> values to their respective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xml:space="preserve"> on a regular basis.</w:t>
                      </w:r>
                    </w:p>
                    <w:p w:rsidR="008624BA" w:rsidRDefault="00D91481" w:rsidP="000635A5">
                      <w:pPr>
                        <w:pStyle w:val="ListParagraph"/>
                        <w:numPr>
                          <w:ilvl w:val="0"/>
                          <w:numId w:val="3"/>
                        </w:numPr>
                        <w:spacing w:line="240" w:lineRule="auto"/>
                        <w:ind w:left="720" w:right="-150"/>
                        <w:textDirection w:val="btLr"/>
                      </w:pPr>
                      <w:r w:rsidRPr="000635A5">
                        <w:rPr>
                          <w:rFonts w:ascii="Arial" w:eastAsia="Arial" w:hAnsi="Arial" w:cs="Arial"/>
                          <w:b/>
                          <w:color w:val="FFFFFF"/>
                          <w:sz w:val="20"/>
                        </w:rPr>
                        <w:t xml:space="preserve">Implemented a process for ongoing monitoring, measurement and analysis of your </w:t>
                      </w:r>
                      <w:proofErr w:type="spellStart"/>
                      <w:r w:rsidRPr="000635A5">
                        <w:rPr>
                          <w:rFonts w:ascii="Arial" w:eastAsia="Arial" w:hAnsi="Arial" w:cs="Arial"/>
                          <w:b/>
                          <w:color w:val="FFFFFF"/>
                          <w:sz w:val="20"/>
                        </w:rPr>
                        <w:t>EnPIs</w:t>
                      </w:r>
                      <w:proofErr w:type="spellEnd"/>
                      <w:r w:rsidRPr="000635A5">
                        <w:rPr>
                          <w:rFonts w:ascii="Arial" w:eastAsia="Arial" w:hAnsi="Arial" w:cs="Arial"/>
                          <w:b/>
                          <w:color w:val="FFFFFF"/>
                          <w:sz w:val="20"/>
                        </w:rPr>
                        <w:t xml:space="preserve">, </w:t>
                      </w:r>
                      <w:proofErr w:type="spellStart"/>
                      <w:r w:rsidRPr="000635A5">
                        <w:rPr>
                          <w:rFonts w:ascii="Arial" w:eastAsia="Arial" w:hAnsi="Arial" w:cs="Arial"/>
                          <w:b/>
                          <w:color w:val="FFFFFF"/>
                          <w:sz w:val="20"/>
                        </w:rPr>
                        <w:t>EnBs</w:t>
                      </w:r>
                      <w:proofErr w:type="spellEnd"/>
                      <w:r w:rsidRPr="000635A5">
                        <w:rPr>
                          <w:rFonts w:ascii="Arial" w:eastAsia="Arial" w:hAnsi="Arial" w:cs="Arial"/>
                          <w:b/>
                          <w:color w:val="FFFFFF"/>
                          <w:sz w:val="20"/>
                        </w:rPr>
                        <w:t>, and energy performance improvement.</w:t>
                      </w:r>
                    </w:p>
                    <w:p w:rsidR="008624BA" w:rsidRDefault="008624BA">
                      <w:pPr>
                        <w:spacing w:after="0" w:line="240" w:lineRule="auto"/>
                        <w:ind w:right="-143"/>
                        <w:textDirection w:val="btLr"/>
                      </w:pPr>
                    </w:p>
                    <w:p w:rsidR="008624BA" w:rsidRPr="000635A5" w:rsidRDefault="00D91481" w:rsidP="000635A5">
                      <w:pPr>
                        <w:pStyle w:val="ListParagraph"/>
                        <w:numPr>
                          <w:ilvl w:val="0"/>
                          <w:numId w:val="4"/>
                        </w:numPr>
                        <w:spacing w:line="240" w:lineRule="auto"/>
                        <w:ind w:left="720" w:right="-150"/>
                        <w:textDirection w:val="btLr"/>
                        <w:rPr>
                          <w:color w:val="FFFFFF" w:themeColor="background1"/>
                        </w:rPr>
                      </w:pPr>
                      <w:r w:rsidRPr="000635A5">
                        <w:rPr>
                          <w:rFonts w:ascii="Arial" w:eastAsia="Arial" w:hAnsi="Arial" w:cs="Arial"/>
                          <w:b/>
                          <w:color w:val="FFFFFF" w:themeColor="background1"/>
                          <w:sz w:val="20"/>
                        </w:rPr>
                        <w:t xml:space="preserve">If you are planning on seeking U.S. DOE 50001 Ready recognition for this project please refer to the, “Get Ready Recognized,” page of the 50001 Ready Navigator to ensure you select an </w:t>
                      </w:r>
                      <w:proofErr w:type="spellStart"/>
                      <w:r w:rsidRPr="000635A5">
                        <w:rPr>
                          <w:rFonts w:ascii="Arial" w:eastAsia="Arial" w:hAnsi="Arial" w:cs="Arial"/>
                          <w:b/>
                          <w:color w:val="FFFFFF" w:themeColor="background1"/>
                          <w:sz w:val="20"/>
                        </w:rPr>
                        <w:t>EnPI</w:t>
                      </w:r>
                      <w:proofErr w:type="spellEnd"/>
                      <w:r w:rsidRPr="000635A5">
                        <w:rPr>
                          <w:rFonts w:ascii="Arial" w:eastAsia="Arial" w:hAnsi="Arial" w:cs="Arial"/>
                          <w:b/>
                          <w:color w:val="FFFFFF" w:themeColor="background1"/>
                          <w:sz w:val="20"/>
                        </w:rPr>
                        <w:t xml:space="preserve">, </w:t>
                      </w:r>
                      <w:proofErr w:type="spellStart"/>
                      <w:r w:rsidRPr="000635A5">
                        <w:rPr>
                          <w:rFonts w:ascii="Arial" w:eastAsia="Arial" w:hAnsi="Arial" w:cs="Arial"/>
                          <w:b/>
                          <w:color w:val="FFFFFF" w:themeColor="background1"/>
                          <w:sz w:val="20"/>
                        </w:rPr>
                        <w:t>EnB</w:t>
                      </w:r>
                      <w:proofErr w:type="spellEnd"/>
                      <w:r w:rsidRPr="000635A5">
                        <w:rPr>
                          <w:rFonts w:ascii="Arial" w:eastAsia="Arial" w:hAnsi="Arial" w:cs="Arial"/>
                          <w:b/>
                          <w:color w:val="FFFFFF" w:themeColor="background1"/>
                          <w:sz w:val="20"/>
                        </w:rPr>
                        <w:t>, and method for demonstrating energy performance improvement allowed by the recognition program. To achieve Ready recognition energy performance improvement is demonstrated for the same scope and boundaries as your 50001 Ready EnMS.</w:t>
                      </w:r>
                    </w:p>
                    <w:p w:rsidR="008624BA" w:rsidRDefault="008624BA">
                      <w:pPr>
                        <w:spacing w:line="240" w:lineRule="auto"/>
                        <w:ind w:right="-150"/>
                        <w:textDirection w:val="btLr"/>
                      </w:pPr>
                    </w:p>
                    <w:p w:rsidR="008624BA" w:rsidRDefault="008624BA">
                      <w:pPr>
                        <w:spacing w:line="240" w:lineRule="auto"/>
                        <w:ind w:right="-150"/>
                        <w:textDirection w:val="btLr"/>
                      </w:pPr>
                    </w:p>
                    <w:p w:rsidR="008624BA" w:rsidRDefault="008624BA">
                      <w:pPr>
                        <w:spacing w:line="240" w:lineRule="auto"/>
                        <w:ind w:left="-810" w:right="-720" w:hanging="810"/>
                        <w:textDirection w:val="btLr"/>
                      </w:pPr>
                    </w:p>
                  </w:txbxContent>
                </v:textbox>
                <w10:wrap type="square"/>
              </v:rect>
            </w:pict>
          </mc:Fallback>
        </mc:AlternateContent>
      </w:r>
      <w:r w:rsidR="00D91481">
        <w:rPr>
          <w:rFonts w:ascii="Arial" w:eastAsia="Arial" w:hAnsi="Arial" w:cs="Arial"/>
          <w:b/>
          <w:color w:val="000000"/>
          <w:sz w:val="21"/>
          <w:szCs w:val="21"/>
        </w:rPr>
        <w:t xml:space="preserve">Who last modified/updated: </w:t>
      </w:r>
      <w:r w:rsidR="00D91481">
        <w:rPr>
          <w:color w:val="808080"/>
        </w:rPr>
        <w:t>Click here to enter text.</w:t>
      </w:r>
      <w:r w:rsidR="00D91481">
        <w:rPr>
          <w:rFonts w:ascii="Arial" w:eastAsia="Arial" w:hAnsi="Arial" w:cs="Arial"/>
          <w:b/>
          <w:color w:val="000000"/>
          <w:sz w:val="21"/>
          <w:szCs w:val="21"/>
        </w:rPr>
        <w:t xml:space="preserve">               Management review: </w:t>
      </w:r>
      <w:r w:rsidR="00D91481">
        <w:rPr>
          <w:color w:val="808080"/>
        </w:rPr>
        <w:t>Click here to enter a date.</w:t>
      </w:r>
    </w:p>
    <w:p w:rsidR="008624BA" w:rsidRDefault="008624BA">
      <w:pPr>
        <w:spacing w:line="240" w:lineRule="auto"/>
        <w:ind w:left="-810" w:right="-720"/>
        <w:rPr>
          <w:rFonts w:ascii="Arial" w:eastAsia="Arial" w:hAnsi="Arial" w:cs="Arial"/>
          <w:color w:val="000000"/>
          <w:sz w:val="20"/>
          <w:szCs w:val="20"/>
        </w:rPr>
      </w:pPr>
    </w:p>
    <w:p w:rsidR="008624BA" w:rsidRDefault="00D91481">
      <w:pPr>
        <w:numPr>
          <w:ilvl w:val="0"/>
          <w:numId w:val="2"/>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Develop energy performance indicators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 xml:space="preserve">) for your organization including an </w:t>
      </w:r>
      <w:proofErr w:type="spellStart"/>
      <w:r>
        <w:rPr>
          <w:rFonts w:ascii="Arial" w:eastAsia="Arial" w:hAnsi="Arial" w:cs="Arial"/>
          <w:color w:val="000000"/>
          <w:sz w:val="20"/>
          <w:szCs w:val="20"/>
          <w:u w:val="single"/>
        </w:rPr>
        <w:t>EnPI</w:t>
      </w:r>
      <w:proofErr w:type="spellEnd"/>
      <w:r>
        <w:rPr>
          <w:rFonts w:ascii="Arial" w:eastAsia="Arial" w:hAnsi="Arial" w:cs="Arial"/>
          <w:color w:val="000000"/>
          <w:sz w:val="20"/>
          <w:szCs w:val="20"/>
          <w:u w:val="single"/>
        </w:rPr>
        <w:t xml:space="preserve"> for each SEU. If relevant variables significantly affect energy consumption, then normalize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w:t>
      </w:r>
    </w:p>
    <w:p w:rsidR="008624BA" w:rsidRDefault="00D91481">
      <w:pPr>
        <w:spacing w:after="240"/>
        <w:ind w:left="-810" w:right="-576"/>
        <w:rPr>
          <w:rFonts w:ascii="Arial" w:eastAsia="Arial" w:hAnsi="Arial" w:cs="Arial"/>
          <w:color w:val="000000"/>
          <w:sz w:val="20"/>
          <w:szCs w:val="20"/>
        </w:rPr>
      </w:pPr>
      <w:bookmarkStart w:id="0" w:name="bookmark=id.gjdgxs" w:colFirst="0" w:colLast="0"/>
      <w:bookmarkEnd w:id="0"/>
      <w:r>
        <w:rPr>
          <w:rFonts w:ascii="Arial" w:eastAsia="Arial" w:hAnsi="Arial" w:cs="Arial"/>
          <w:color w:val="000000"/>
          <w:sz w:val="20"/>
          <w:szCs w:val="20"/>
        </w:rPr>
        <w:t>☒ We have developed our energy performance indicators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using information from the energy review in the Energy Data Collection and Analysis task. </w:t>
      </w:r>
    </w:p>
    <w:tbl>
      <w:tblPr>
        <w:tblStyle w:val="a"/>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7051"/>
        <w:gridCol w:w="3150"/>
      </w:tblGrid>
      <w:tr w:rsidR="008624BA">
        <w:trPr>
          <w:trHeight w:val="215"/>
        </w:trPr>
        <w:tc>
          <w:tcPr>
            <w:tcW w:w="509" w:type="dxa"/>
            <w:vAlign w:val="center"/>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7051" w:type="dxa"/>
            <w:vAlign w:val="center"/>
          </w:tcPr>
          <w:p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t xml:space="preserve">We have assigned responsibilities of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development at our organization. </w:t>
            </w:r>
          </w:p>
        </w:tc>
        <w:tc>
          <w:tcPr>
            <w:tcW w:w="3150" w:type="dxa"/>
            <w:vAlign w:val="center"/>
          </w:tcPr>
          <w:p w:rsidR="008624BA" w:rsidRDefault="00D91481">
            <w:pPr>
              <w:spacing w:before="50" w:after="50" w:line="240" w:lineRule="auto"/>
              <w:ind w:right="-13"/>
              <w:rPr>
                <w:rFonts w:ascii="Arial" w:eastAsia="Arial" w:hAnsi="Arial" w:cs="Arial"/>
                <w:color w:val="000000"/>
                <w:sz w:val="20"/>
                <w:szCs w:val="20"/>
              </w:rPr>
            </w:pPr>
            <w:r>
              <w:rPr>
                <w:rFonts w:ascii="Arial" w:eastAsia="Arial" w:hAnsi="Arial" w:cs="Arial"/>
                <w:color w:val="0000FF"/>
                <w:sz w:val="20"/>
                <w:szCs w:val="20"/>
              </w:rPr>
              <w:t>This is the responsibility of the Green Team, with final decisions made by the Director of Engineering.</w:t>
            </w:r>
          </w:p>
        </w:tc>
      </w:tr>
    </w:tbl>
    <w:p w:rsidR="008624BA" w:rsidRDefault="008624BA">
      <w:pPr>
        <w:spacing w:after="0"/>
        <w:ind w:right="-576"/>
        <w:rPr>
          <w:rFonts w:ascii="Arial" w:eastAsia="Arial" w:hAnsi="Arial" w:cs="Arial"/>
          <w:color w:val="000000"/>
          <w:sz w:val="20"/>
          <w:szCs w:val="20"/>
        </w:rPr>
      </w:pPr>
    </w:p>
    <w:tbl>
      <w:tblPr>
        <w:tblStyle w:val="a0"/>
        <w:tblW w:w="1000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079"/>
        <w:gridCol w:w="3420"/>
      </w:tblGrid>
      <w:tr w:rsidR="008624BA">
        <w:trPr>
          <w:trHeight w:val="215"/>
        </w:trPr>
        <w:tc>
          <w:tcPr>
            <w:tcW w:w="509" w:type="dxa"/>
            <w:vAlign w:val="center"/>
          </w:tcPr>
          <w:p w:rsidR="008624BA" w:rsidRDefault="00D91481">
            <w:pPr>
              <w:spacing w:before="50" w:after="50" w:line="240" w:lineRule="auto"/>
              <w:ind w:right="-720"/>
              <w:rPr>
                <w:rFonts w:ascii="Arial" w:eastAsia="Arial" w:hAnsi="Arial" w:cs="Arial"/>
                <w:color w:val="000000"/>
                <w:sz w:val="20"/>
                <w:szCs w:val="20"/>
              </w:rPr>
            </w:pPr>
            <w:bookmarkStart w:id="1" w:name="bookmark=id.30j0zll" w:colFirst="0" w:colLast="0"/>
            <w:bookmarkEnd w:id="1"/>
            <w:r>
              <w:rPr>
                <w:rFonts w:ascii="Arial" w:eastAsia="Arial" w:hAnsi="Arial" w:cs="Arial"/>
                <w:color w:val="000000"/>
                <w:sz w:val="20"/>
                <w:szCs w:val="20"/>
              </w:rPr>
              <w:t>☒</w:t>
            </w:r>
          </w:p>
        </w:tc>
        <w:tc>
          <w:tcPr>
            <w:tcW w:w="6079" w:type="dxa"/>
            <w:vAlign w:val="center"/>
          </w:tcPr>
          <w:p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 xml:space="preserve">Our </w:t>
            </w:r>
            <w:r>
              <w:rPr>
                <w:rFonts w:ascii="Arial" w:eastAsia="Arial" w:hAnsi="Arial" w:cs="Arial"/>
                <w:b/>
                <w:color w:val="000000"/>
                <w:sz w:val="20"/>
                <w:szCs w:val="20"/>
              </w:rPr>
              <w:t>energy team</w:t>
            </w:r>
            <w:r>
              <w:rPr>
                <w:rFonts w:ascii="Arial" w:eastAsia="Arial" w:hAnsi="Arial" w:cs="Arial"/>
                <w:color w:val="000000"/>
                <w:sz w:val="20"/>
                <w:szCs w:val="20"/>
              </w:rPr>
              <w:t xml:space="preserve"> is responsible for developing our list of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w:t>
            </w:r>
          </w:p>
        </w:tc>
        <w:tc>
          <w:tcPr>
            <w:tcW w:w="3420" w:type="dxa"/>
            <w:vAlign w:val="center"/>
          </w:tcPr>
          <w:p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List developed 5/3/21</w:t>
            </w:r>
          </w:p>
        </w:tc>
      </w:tr>
      <w:tr w:rsidR="008624BA">
        <w:trPr>
          <w:trHeight w:val="215"/>
        </w:trPr>
        <w:tc>
          <w:tcPr>
            <w:tcW w:w="509" w:type="dxa"/>
            <w:vAlign w:val="center"/>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079" w:type="dxa"/>
            <w:vAlign w:val="center"/>
          </w:tcPr>
          <w:p w:rsidR="008624BA" w:rsidRDefault="00D91481">
            <w:pPr>
              <w:spacing w:before="50" w:after="50" w:line="240" w:lineRule="auto"/>
              <w:rPr>
                <w:rFonts w:ascii="Arial" w:eastAsia="Arial" w:hAnsi="Arial" w:cs="Arial"/>
                <w:color w:val="000000"/>
                <w:sz w:val="20"/>
                <w:szCs w:val="20"/>
              </w:rPr>
            </w:pPr>
            <w:r>
              <w:rPr>
                <w:rFonts w:ascii="Arial" w:eastAsia="Arial" w:hAnsi="Arial" w:cs="Arial"/>
                <w:b/>
                <w:color w:val="000000"/>
                <w:sz w:val="20"/>
                <w:szCs w:val="20"/>
              </w:rPr>
              <w:t>Top management</w:t>
            </w:r>
            <w:r>
              <w:rPr>
                <w:rFonts w:ascii="Arial" w:eastAsia="Arial" w:hAnsi="Arial" w:cs="Arial"/>
                <w:color w:val="000000"/>
                <w:sz w:val="20"/>
                <w:szCs w:val="20"/>
              </w:rPr>
              <w:t xml:space="preserve"> is responsible for ensuring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appropriately represent energy performance, which can be accomplished through the management review process detailed in the Management Review task. </w:t>
            </w:r>
          </w:p>
        </w:tc>
        <w:tc>
          <w:tcPr>
            <w:tcW w:w="3420" w:type="dxa"/>
            <w:vAlign w:val="center"/>
          </w:tcPr>
          <w:p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Confirmed acceptance of responsibility on 5/14/21</w:t>
            </w:r>
          </w:p>
        </w:tc>
      </w:tr>
    </w:tbl>
    <w:p w:rsidR="008624BA" w:rsidRDefault="008624BA">
      <w:pPr>
        <w:spacing w:after="240"/>
        <w:ind w:left="-810" w:right="-576"/>
        <w:rPr>
          <w:rFonts w:ascii="Arial" w:eastAsia="Arial" w:hAnsi="Arial" w:cs="Arial"/>
          <w:color w:val="000000"/>
          <w:sz w:val="20"/>
          <w:szCs w:val="20"/>
        </w:rPr>
      </w:pPr>
    </w:p>
    <w:tbl>
      <w:tblPr>
        <w:tblStyle w:val="a1"/>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151"/>
        <w:gridCol w:w="4050"/>
      </w:tblGrid>
      <w:tr w:rsidR="008624BA">
        <w:trPr>
          <w:trHeight w:val="215"/>
        </w:trPr>
        <w:tc>
          <w:tcPr>
            <w:tcW w:w="509" w:type="dxa"/>
            <w:vAlign w:val="center"/>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151" w:type="dxa"/>
            <w:vAlign w:val="center"/>
          </w:tcPr>
          <w:p w:rsidR="008624BA" w:rsidRDefault="00D91481">
            <w:pPr>
              <w:spacing w:before="50" w:after="50" w:line="240" w:lineRule="auto"/>
              <w:ind w:right="67"/>
              <w:rPr>
                <w:rFonts w:ascii="Arial" w:eastAsia="Arial" w:hAnsi="Arial" w:cs="Arial"/>
                <w:color w:val="000000"/>
                <w:sz w:val="20"/>
                <w:szCs w:val="20"/>
              </w:rPr>
            </w:pPr>
            <w:r>
              <w:rPr>
                <w:rFonts w:ascii="Arial" w:eastAsia="Arial" w:hAnsi="Arial" w:cs="Arial"/>
                <w:color w:val="000000"/>
                <w:sz w:val="20"/>
                <w:szCs w:val="20"/>
              </w:rPr>
              <w:t xml:space="preserve">We have assigned an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for each significant energy use (SEU). </w:t>
            </w:r>
          </w:p>
        </w:tc>
        <w:tc>
          <w:tcPr>
            <w:tcW w:w="4050" w:type="dxa"/>
            <w:vAlign w:val="center"/>
          </w:tcPr>
          <w:p w:rsidR="008624BA" w:rsidRDefault="00D91481">
            <w:pPr>
              <w:spacing w:before="50" w:after="50" w:line="240" w:lineRule="auto"/>
              <w:ind w:right="-13"/>
              <w:rPr>
                <w:rFonts w:ascii="Arial" w:eastAsia="Arial" w:hAnsi="Arial" w:cs="Arial"/>
                <w:color w:val="0000FF"/>
                <w:sz w:val="20"/>
                <w:szCs w:val="20"/>
              </w:rPr>
            </w:pPr>
            <w:r>
              <w:rPr>
                <w:rFonts w:ascii="Arial" w:eastAsia="Arial" w:hAnsi="Arial" w:cs="Arial"/>
                <w:color w:val="0000FF"/>
                <w:sz w:val="20"/>
                <w:szCs w:val="20"/>
              </w:rPr>
              <w:t>5/3/21</w:t>
            </w:r>
          </w:p>
        </w:tc>
      </w:tr>
      <w:tr w:rsidR="008624BA">
        <w:trPr>
          <w:trHeight w:val="215"/>
        </w:trPr>
        <w:tc>
          <w:tcPr>
            <w:tcW w:w="509" w:type="dxa"/>
            <w:vAlign w:val="center"/>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151" w:type="dxa"/>
            <w:vAlign w:val="center"/>
          </w:tcPr>
          <w:p w:rsidR="008624BA" w:rsidRDefault="00D91481">
            <w:pPr>
              <w:spacing w:before="50" w:after="50" w:line="240" w:lineRule="auto"/>
              <w:ind w:right="67"/>
              <w:rPr>
                <w:rFonts w:ascii="Arial" w:eastAsia="Arial" w:hAnsi="Arial" w:cs="Arial"/>
                <w:color w:val="000000"/>
                <w:sz w:val="20"/>
                <w:szCs w:val="20"/>
              </w:rPr>
            </w:pPr>
            <w:r>
              <w:rPr>
                <w:rFonts w:ascii="Arial" w:eastAsia="Arial" w:hAnsi="Arial" w:cs="Arial"/>
                <w:color w:val="000000"/>
                <w:sz w:val="20"/>
                <w:szCs w:val="20"/>
              </w:rPr>
              <w:t xml:space="preserve">Each of the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we have selected provide immediate value to key stakeholders. </w:t>
            </w:r>
          </w:p>
        </w:tc>
        <w:tc>
          <w:tcPr>
            <w:tcW w:w="4050" w:type="dxa"/>
            <w:vAlign w:val="center"/>
          </w:tcPr>
          <w:p w:rsidR="008624BA" w:rsidRDefault="00D91481">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Confirmed</w:t>
            </w:r>
          </w:p>
        </w:tc>
      </w:tr>
    </w:tbl>
    <w:p w:rsidR="008624BA" w:rsidRDefault="00D91481">
      <w:pPr>
        <w:spacing w:before="120" w:line="240" w:lineRule="auto"/>
        <w:ind w:left="-806" w:right="-720"/>
        <w:rPr>
          <w:rFonts w:ascii="Arial" w:eastAsia="Arial" w:hAnsi="Arial" w:cs="Arial"/>
          <w:i/>
          <w:color w:val="000000"/>
          <w:sz w:val="20"/>
          <w:szCs w:val="20"/>
        </w:rPr>
      </w:pPr>
      <w:r>
        <w:rPr>
          <w:rFonts w:ascii="Arial" w:eastAsia="Arial" w:hAnsi="Arial" w:cs="Arial"/>
          <w:i/>
          <w:color w:val="000000"/>
          <w:sz w:val="20"/>
          <w:szCs w:val="20"/>
        </w:rPr>
        <w:lastRenderedPageBreak/>
        <w:t xml:space="preserve">Note: For 50001 Ready recognition specific </w:t>
      </w:r>
      <w:proofErr w:type="spellStart"/>
      <w:r>
        <w:rPr>
          <w:rFonts w:ascii="Arial" w:eastAsia="Arial" w:hAnsi="Arial" w:cs="Arial"/>
          <w:i/>
          <w:color w:val="000000"/>
          <w:sz w:val="20"/>
          <w:szCs w:val="20"/>
        </w:rPr>
        <w:t>EnPIs</w:t>
      </w:r>
      <w:proofErr w:type="spellEnd"/>
      <w:r>
        <w:rPr>
          <w:rFonts w:ascii="Arial" w:eastAsia="Arial" w:hAnsi="Arial" w:cs="Arial"/>
          <w:i/>
          <w:color w:val="000000"/>
          <w:sz w:val="20"/>
          <w:szCs w:val="20"/>
        </w:rPr>
        <w:t xml:space="preserve"> and </w:t>
      </w:r>
      <w:proofErr w:type="spellStart"/>
      <w:r>
        <w:rPr>
          <w:rFonts w:ascii="Arial" w:eastAsia="Arial" w:hAnsi="Arial" w:cs="Arial"/>
          <w:i/>
          <w:color w:val="000000"/>
          <w:sz w:val="20"/>
          <w:szCs w:val="20"/>
        </w:rPr>
        <w:t>EnBs</w:t>
      </w:r>
      <w:proofErr w:type="spellEnd"/>
      <w:r>
        <w:rPr>
          <w:rFonts w:ascii="Arial" w:eastAsia="Arial" w:hAnsi="Arial" w:cs="Arial"/>
          <w:i/>
          <w:color w:val="000000"/>
          <w:sz w:val="20"/>
          <w:szCs w:val="20"/>
        </w:rPr>
        <w:t xml:space="preserve"> are required. See program requirements on the “Get Ready Recognized” page of the 50001 Ready Navigator for more information.</w:t>
      </w:r>
    </w:p>
    <w:p w:rsidR="008624BA" w:rsidRDefault="00D91481">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xml:space="preserve">☒ We have established criteria for identifying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detailed below:</w:t>
      </w:r>
    </w:p>
    <w:p w:rsidR="008624BA" w:rsidRDefault="00D91481">
      <w:pPr>
        <w:spacing w:line="240" w:lineRule="auto"/>
        <w:ind w:left="-806"/>
        <w:rPr>
          <w:rFonts w:ascii="Arial" w:eastAsia="Arial" w:hAnsi="Arial" w:cs="Arial"/>
          <w:color w:val="0000FF"/>
          <w:sz w:val="20"/>
          <w:szCs w:val="20"/>
        </w:rPr>
      </w:pPr>
      <w:r>
        <w:rPr>
          <w:rFonts w:ascii="Arial" w:eastAsia="Arial" w:hAnsi="Arial" w:cs="Arial"/>
          <w:color w:val="0000FF"/>
          <w:sz w:val="20"/>
          <w:szCs w:val="20"/>
        </w:rPr>
        <w:t xml:space="preserve">Our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provide site-level metrics on electricity, natural gas, and water consumption for the hotel, along with visibility into the performance of our chilled water and boiler plant operations, which are 2 significant energy users</w:t>
      </w:r>
      <w:r w:rsidR="000635A5">
        <w:rPr>
          <w:rFonts w:ascii="Arial" w:eastAsia="Arial" w:hAnsi="Arial" w:cs="Arial"/>
          <w:color w:val="0000FF"/>
          <w:sz w:val="20"/>
          <w:szCs w:val="20"/>
        </w:rPr>
        <w:t>.</w:t>
      </w:r>
    </w:p>
    <w:p w:rsidR="008624BA" w:rsidRDefault="00D91481">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xml:space="preserve">☒ We have established methods for determining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detailed below:</w:t>
      </w:r>
    </w:p>
    <w:p w:rsidR="008624BA" w:rsidRDefault="00D91481">
      <w:pPr>
        <w:spacing w:line="240" w:lineRule="auto"/>
        <w:ind w:left="-806"/>
        <w:rPr>
          <w:rFonts w:ascii="Arial" w:eastAsia="Arial" w:hAnsi="Arial" w:cs="Arial"/>
          <w:color w:val="0000FF"/>
          <w:sz w:val="20"/>
          <w:szCs w:val="20"/>
        </w:rPr>
      </w:pPr>
      <w:r>
        <w:rPr>
          <w:rFonts w:ascii="Arial" w:eastAsia="Arial" w:hAnsi="Arial" w:cs="Arial"/>
          <w:color w:val="0000FF"/>
          <w:sz w:val="20"/>
          <w:szCs w:val="20"/>
        </w:rPr>
        <w:t xml:space="preserve">Our current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are based on site-level and equipment-level data where we have ready and reliable access.  Site data will utilize monthly billing from our utilities entered into Energy Star Portfolio Manager and normalized for occupied room rates.  Chiller and boiler plant performance will be based upon data we currently have in our B</w:t>
      </w:r>
      <w:r w:rsidR="000635A5">
        <w:rPr>
          <w:rFonts w:ascii="Arial" w:eastAsia="Arial" w:hAnsi="Arial" w:cs="Arial"/>
          <w:color w:val="0000FF"/>
          <w:sz w:val="20"/>
          <w:szCs w:val="20"/>
        </w:rPr>
        <w:t>uilding Management System</w:t>
      </w:r>
      <w:r w:rsidR="00FB36A2">
        <w:rPr>
          <w:rFonts w:ascii="Arial" w:eastAsia="Arial" w:hAnsi="Arial" w:cs="Arial"/>
          <w:color w:val="0000FF"/>
          <w:sz w:val="20"/>
          <w:szCs w:val="20"/>
        </w:rPr>
        <w:t xml:space="preserve"> (BMS)</w:t>
      </w:r>
      <w:r>
        <w:rPr>
          <w:rFonts w:ascii="Arial" w:eastAsia="Arial" w:hAnsi="Arial" w:cs="Arial"/>
          <w:color w:val="0000FF"/>
          <w:sz w:val="20"/>
          <w:szCs w:val="20"/>
        </w:rPr>
        <w:t xml:space="preserve">.  Other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will be determined for other significant energy uses once data collection points are developed and integrated into a system to easily record, track, and automate the transfer of this data into a useable format.</w:t>
      </w:r>
    </w:p>
    <w:p w:rsidR="008624BA" w:rsidRDefault="00D91481">
      <w:pPr>
        <w:spacing w:line="240" w:lineRule="auto"/>
        <w:ind w:left="-810" w:right="-720"/>
        <w:rPr>
          <w:rFonts w:ascii="Arial" w:eastAsia="Arial" w:hAnsi="Arial" w:cs="Arial"/>
          <w:color w:val="000000"/>
          <w:sz w:val="20"/>
          <w:szCs w:val="20"/>
        </w:rPr>
      </w:pPr>
      <w:bookmarkStart w:id="2" w:name="bookmark=id.1fob9te" w:colFirst="0" w:colLast="0"/>
      <w:bookmarkEnd w:id="2"/>
      <w:r>
        <w:rPr>
          <w:rFonts w:ascii="Arial" w:eastAsia="Arial" w:hAnsi="Arial" w:cs="Arial"/>
          <w:color w:val="000000"/>
          <w:sz w:val="20"/>
          <w:szCs w:val="20"/>
        </w:rPr>
        <w:t>☒ We have established a process for recording and reviewing these methods on a regular basis.</w:t>
      </w:r>
    </w:p>
    <w:p w:rsidR="008624BA" w:rsidRDefault="00D91481">
      <w:pPr>
        <w:spacing w:line="240" w:lineRule="auto"/>
        <w:ind w:left="-810"/>
        <w:rPr>
          <w:rFonts w:ascii="Arial" w:eastAsia="Arial" w:hAnsi="Arial" w:cs="Arial"/>
          <w:color w:val="0000FF"/>
          <w:sz w:val="20"/>
          <w:szCs w:val="20"/>
          <w:u w:val="single"/>
        </w:rPr>
      </w:pPr>
      <w:r>
        <w:rPr>
          <w:rFonts w:ascii="Arial" w:eastAsia="Arial" w:hAnsi="Arial" w:cs="Arial"/>
          <w:color w:val="0000FF"/>
          <w:sz w:val="20"/>
          <w:szCs w:val="20"/>
        </w:rPr>
        <w:t>We will use both Energy Star Portfolio Manager and our Sustainability Tracker as the means to record our monthly energy usage. We will begin to normalize these values for number of occupied rooms throughout the month to adjust for changing occupancy patterns.  We’re also exploring how to capture and report these values on a daily basis and to include average outside air temperatures and food &amp; beverage covers to have a more accurate representation to changing relevant variables that drive energy consumption for our site.</w:t>
      </w:r>
    </w:p>
    <w:p w:rsidR="008624BA" w:rsidRDefault="008624BA">
      <w:pPr>
        <w:spacing w:line="240" w:lineRule="auto"/>
        <w:ind w:left="-806" w:right="-720"/>
        <w:rPr>
          <w:rFonts w:ascii="Arial" w:eastAsia="Arial" w:hAnsi="Arial" w:cs="Arial"/>
          <w:color w:val="000000"/>
          <w:sz w:val="20"/>
          <w:szCs w:val="20"/>
        </w:rPr>
      </w:pPr>
    </w:p>
    <w:p w:rsidR="008624BA" w:rsidRDefault="00D91481">
      <w:pPr>
        <w:spacing w:line="240" w:lineRule="auto"/>
        <w:ind w:left="-806" w:right="-720"/>
        <w:rPr>
          <w:rFonts w:ascii="Arial" w:eastAsia="Arial" w:hAnsi="Arial" w:cs="Arial"/>
          <w:color w:val="000000"/>
          <w:sz w:val="20"/>
          <w:szCs w:val="20"/>
        </w:rPr>
      </w:pPr>
      <w:r>
        <w:rPr>
          <w:rFonts w:ascii="Arial" w:eastAsia="Arial" w:hAnsi="Arial" w:cs="Arial"/>
          <w:color w:val="000000"/>
          <w:sz w:val="20"/>
          <w:szCs w:val="20"/>
        </w:rPr>
        <w:t xml:space="preserve">☒ We have created a list of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(s) for our facility, and have detailed below:</w:t>
      </w:r>
    </w:p>
    <w:tbl>
      <w:tblPr>
        <w:tblStyle w:val="a2"/>
        <w:tblW w:w="10710" w:type="dxa"/>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71"/>
        <w:gridCol w:w="3071"/>
        <w:gridCol w:w="4568"/>
      </w:tblGrid>
      <w:tr w:rsidR="008624BA">
        <w:trPr>
          <w:trHeight w:val="540"/>
          <w:tblHeader/>
        </w:trPr>
        <w:tc>
          <w:tcPr>
            <w:tcW w:w="3071" w:type="dxa"/>
            <w:tcBorders>
              <w:top w:val="single" w:sz="12" w:space="0" w:color="000000"/>
              <w:left w:val="single" w:sz="12" w:space="0" w:color="000000"/>
              <w:bottom w:val="single" w:sz="12" w:space="0" w:color="000000"/>
            </w:tcBorders>
          </w:tcPr>
          <w:p w:rsidR="008624BA" w:rsidRDefault="00D91481">
            <w:pPr>
              <w:jc w:val="center"/>
              <w:rPr>
                <w:rFonts w:ascii="Arial" w:eastAsia="Arial" w:hAnsi="Arial" w:cs="Arial"/>
                <w:b/>
                <w:sz w:val="20"/>
                <w:szCs w:val="20"/>
              </w:rPr>
            </w:pPr>
            <w:proofErr w:type="spellStart"/>
            <w:r>
              <w:rPr>
                <w:rFonts w:ascii="Arial" w:eastAsia="Arial" w:hAnsi="Arial" w:cs="Arial"/>
                <w:b/>
                <w:sz w:val="20"/>
                <w:szCs w:val="20"/>
              </w:rPr>
              <w:t>EnPI</w:t>
            </w:r>
            <w:proofErr w:type="spellEnd"/>
          </w:p>
        </w:tc>
        <w:tc>
          <w:tcPr>
            <w:tcW w:w="3071" w:type="dxa"/>
            <w:tcBorders>
              <w:top w:val="single" w:sz="12" w:space="0" w:color="000000"/>
              <w:bottom w:val="single" w:sz="12" w:space="0" w:color="000000"/>
            </w:tcBorders>
            <w:vAlign w:val="center"/>
          </w:tcPr>
          <w:p w:rsidR="008624BA" w:rsidRDefault="00D91481">
            <w:pPr>
              <w:jc w:val="center"/>
              <w:rPr>
                <w:rFonts w:ascii="Arial" w:eastAsia="Arial" w:hAnsi="Arial" w:cs="Arial"/>
                <w:b/>
                <w:sz w:val="20"/>
                <w:szCs w:val="20"/>
              </w:rPr>
            </w:pPr>
            <w:r>
              <w:rPr>
                <w:rFonts w:ascii="Arial" w:eastAsia="Arial" w:hAnsi="Arial" w:cs="Arial"/>
                <w:b/>
                <w:sz w:val="20"/>
                <w:szCs w:val="20"/>
              </w:rPr>
              <w:t>Energy Input, units</w:t>
            </w:r>
          </w:p>
        </w:tc>
        <w:tc>
          <w:tcPr>
            <w:tcW w:w="4568" w:type="dxa"/>
            <w:tcBorders>
              <w:top w:val="single" w:sz="12" w:space="0" w:color="000000"/>
              <w:bottom w:val="single" w:sz="12" w:space="0" w:color="000000"/>
              <w:right w:val="single" w:sz="12" w:space="0" w:color="000000"/>
            </w:tcBorders>
            <w:vAlign w:val="center"/>
          </w:tcPr>
          <w:p w:rsidR="008624BA" w:rsidRDefault="00D91481">
            <w:pPr>
              <w:jc w:val="center"/>
              <w:rPr>
                <w:rFonts w:ascii="Arial" w:eastAsia="Arial" w:hAnsi="Arial" w:cs="Arial"/>
                <w:b/>
                <w:sz w:val="20"/>
                <w:szCs w:val="20"/>
              </w:rPr>
            </w:pPr>
            <w:r>
              <w:rPr>
                <w:rFonts w:ascii="Arial" w:eastAsia="Arial" w:hAnsi="Arial" w:cs="Arial"/>
                <w:b/>
                <w:sz w:val="20"/>
                <w:szCs w:val="20"/>
              </w:rPr>
              <w:t xml:space="preserve">Description of intended use of </w:t>
            </w:r>
            <w:proofErr w:type="spellStart"/>
            <w:r>
              <w:rPr>
                <w:rFonts w:ascii="Arial" w:eastAsia="Arial" w:hAnsi="Arial" w:cs="Arial"/>
                <w:b/>
                <w:sz w:val="20"/>
                <w:szCs w:val="20"/>
              </w:rPr>
              <w:t>EnPI</w:t>
            </w:r>
            <w:proofErr w:type="spellEnd"/>
            <w:r>
              <w:rPr>
                <w:rFonts w:ascii="Arial" w:eastAsia="Arial" w:hAnsi="Arial" w:cs="Arial"/>
                <w:b/>
                <w:sz w:val="20"/>
                <w:szCs w:val="20"/>
              </w:rPr>
              <w:t xml:space="preserve"> </w:t>
            </w:r>
          </w:p>
        </w:tc>
      </w:tr>
      <w:tr w:rsidR="008624BA" w:rsidTr="00D233D1">
        <w:trPr>
          <w:cantSplit/>
          <w:trHeight w:val="592"/>
        </w:trPr>
        <w:tc>
          <w:tcPr>
            <w:tcW w:w="3071" w:type="dxa"/>
            <w:tcBorders>
              <w:top w:val="single" w:sz="12" w:space="0" w:color="000000"/>
            </w:tcBorders>
          </w:tcPr>
          <w:p w:rsidR="008624BA" w:rsidRDefault="00D91481">
            <w:pPr>
              <w:rPr>
                <w:rFonts w:ascii="Arial" w:eastAsia="Arial" w:hAnsi="Arial" w:cs="Arial"/>
                <w:color w:val="0000FF"/>
                <w:sz w:val="20"/>
                <w:szCs w:val="20"/>
              </w:rPr>
            </w:pPr>
            <w:r>
              <w:rPr>
                <w:rFonts w:ascii="Arial" w:eastAsia="Arial" w:hAnsi="Arial" w:cs="Arial"/>
                <w:color w:val="0000FF"/>
                <w:sz w:val="20"/>
                <w:szCs w:val="20"/>
              </w:rPr>
              <w:t>Energy Star Portfolio Manager score</w:t>
            </w:r>
          </w:p>
        </w:tc>
        <w:tc>
          <w:tcPr>
            <w:tcW w:w="3071" w:type="dxa"/>
            <w:tcBorders>
              <w:top w:val="single" w:sz="12" w:space="0" w:color="000000"/>
            </w:tcBorders>
          </w:tcPr>
          <w:p w:rsidR="008624BA" w:rsidRDefault="00D91481">
            <w:pPr>
              <w:rPr>
                <w:rFonts w:ascii="Arial" w:eastAsia="Arial" w:hAnsi="Arial" w:cs="Arial"/>
                <w:color w:val="0000FF"/>
                <w:sz w:val="20"/>
                <w:szCs w:val="20"/>
              </w:rPr>
            </w:pPr>
            <w:proofErr w:type="spellStart"/>
            <w:r>
              <w:rPr>
                <w:rFonts w:ascii="Arial" w:eastAsia="Arial" w:hAnsi="Arial" w:cs="Arial"/>
                <w:color w:val="0000FF"/>
                <w:sz w:val="20"/>
                <w:szCs w:val="20"/>
              </w:rPr>
              <w:t>kBtu</w:t>
            </w:r>
            <w:proofErr w:type="spellEnd"/>
            <w:r>
              <w:rPr>
                <w:rFonts w:ascii="Arial" w:eastAsia="Arial" w:hAnsi="Arial" w:cs="Arial"/>
                <w:color w:val="0000FF"/>
                <w:sz w:val="20"/>
                <w:szCs w:val="20"/>
              </w:rPr>
              <w:t>/square-foot then normalized within Portfolio Manager for a 1-10</w:t>
            </w:r>
            <w:bookmarkStart w:id="3" w:name="_GoBack"/>
            <w:bookmarkEnd w:id="3"/>
            <w:r>
              <w:rPr>
                <w:rFonts w:ascii="Arial" w:eastAsia="Arial" w:hAnsi="Arial" w:cs="Arial"/>
                <w:color w:val="0000FF"/>
                <w:sz w:val="20"/>
                <w:szCs w:val="20"/>
              </w:rPr>
              <w:t>0 score</w:t>
            </w:r>
          </w:p>
        </w:tc>
        <w:tc>
          <w:tcPr>
            <w:tcW w:w="4568" w:type="dxa"/>
            <w:tcBorders>
              <w:top w:val="single" w:sz="12" w:space="0" w:color="000000"/>
            </w:tcBorders>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Measurement of overall site energy performance compared to past periods and rated against other hotels/motels within the Portfolio Manager tool</w:t>
            </w:r>
          </w:p>
        </w:tc>
      </w:tr>
      <w:tr w:rsidR="008624BA">
        <w:trPr>
          <w:cantSplit/>
          <w:trHeight w:val="592"/>
        </w:trPr>
        <w:tc>
          <w:tcPr>
            <w:tcW w:w="3071" w:type="dxa"/>
            <w:tcBorders>
              <w:top w:val="single" w:sz="12" w:space="0" w:color="000000"/>
            </w:tcBorders>
          </w:tcPr>
          <w:p w:rsidR="008624BA" w:rsidRDefault="00D91481">
            <w:pPr>
              <w:rPr>
                <w:rFonts w:ascii="Arial" w:eastAsia="Arial" w:hAnsi="Arial" w:cs="Arial"/>
                <w:color w:val="0000FF"/>
                <w:sz w:val="20"/>
                <w:szCs w:val="20"/>
              </w:rPr>
            </w:pPr>
            <w:r>
              <w:rPr>
                <w:rFonts w:ascii="Arial" w:eastAsia="Arial" w:hAnsi="Arial" w:cs="Arial"/>
                <w:color w:val="0000FF"/>
                <w:sz w:val="20"/>
                <w:szCs w:val="20"/>
              </w:rPr>
              <w:t>Electrical consumption per occupied room</w:t>
            </w:r>
          </w:p>
        </w:tc>
        <w:tc>
          <w:tcPr>
            <w:tcW w:w="3071" w:type="dxa"/>
            <w:tcBorders>
              <w:top w:val="single" w:sz="12" w:space="0" w:color="000000"/>
            </w:tcBorders>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kWh</w:t>
            </w:r>
          </w:p>
          <w:p w:rsidR="008624BA" w:rsidRDefault="00D91481">
            <w:pPr>
              <w:rPr>
                <w:rFonts w:ascii="Arial" w:eastAsia="Arial" w:hAnsi="Arial" w:cs="Arial"/>
                <w:color w:val="0000FF"/>
                <w:sz w:val="20"/>
                <w:szCs w:val="20"/>
              </w:rPr>
            </w:pPr>
            <w:r>
              <w:rPr>
                <w:rFonts w:ascii="Arial" w:eastAsia="Arial" w:hAnsi="Arial" w:cs="Arial"/>
                <w:color w:val="0000FF"/>
                <w:sz w:val="20"/>
                <w:szCs w:val="20"/>
              </w:rPr>
              <w:t>kWh per occupied room</w:t>
            </w:r>
          </w:p>
        </w:tc>
        <w:tc>
          <w:tcPr>
            <w:tcW w:w="4568" w:type="dxa"/>
            <w:tcBorders>
              <w:top w:val="single" w:sz="12" w:space="0" w:color="000000"/>
            </w:tcBorders>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Track monthly consumption and normalize for occupancy</w:t>
            </w:r>
          </w:p>
        </w:tc>
      </w:tr>
      <w:tr w:rsidR="008624BA">
        <w:trPr>
          <w:cantSplit/>
          <w:trHeight w:val="610"/>
        </w:trPr>
        <w:tc>
          <w:tcPr>
            <w:tcW w:w="3071" w:type="dxa"/>
          </w:tcPr>
          <w:p w:rsidR="008624BA" w:rsidRDefault="00D91481">
            <w:pPr>
              <w:rPr>
                <w:rFonts w:ascii="Arial" w:eastAsia="Arial" w:hAnsi="Arial" w:cs="Arial"/>
                <w:color w:val="0000FF"/>
                <w:sz w:val="20"/>
                <w:szCs w:val="20"/>
              </w:rPr>
            </w:pPr>
            <w:r>
              <w:rPr>
                <w:rFonts w:ascii="Arial" w:eastAsia="Arial" w:hAnsi="Arial" w:cs="Arial"/>
                <w:color w:val="0000FF"/>
                <w:sz w:val="20"/>
                <w:szCs w:val="20"/>
              </w:rPr>
              <w:t>Natural Gas consumption per occupied room</w:t>
            </w:r>
          </w:p>
        </w:tc>
        <w:tc>
          <w:tcPr>
            <w:tcW w:w="3071" w:type="dxa"/>
            <w:vAlign w:val="center"/>
          </w:tcPr>
          <w:p w:rsidR="008624BA" w:rsidRDefault="00D91481">
            <w:pPr>
              <w:rPr>
                <w:rFonts w:ascii="Arial" w:eastAsia="Arial" w:hAnsi="Arial" w:cs="Arial"/>
                <w:color w:val="0000FF"/>
                <w:sz w:val="20"/>
                <w:szCs w:val="20"/>
              </w:rPr>
            </w:pPr>
            <w:proofErr w:type="spellStart"/>
            <w:r>
              <w:rPr>
                <w:rFonts w:ascii="Arial" w:eastAsia="Arial" w:hAnsi="Arial" w:cs="Arial"/>
                <w:color w:val="0000FF"/>
                <w:sz w:val="20"/>
                <w:szCs w:val="20"/>
              </w:rPr>
              <w:t>Therms</w:t>
            </w:r>
            <w:proofErr w:type="spellEnd"/>
          </w:p>
          <w:p w:rsidR="008624BA" w:rsidRDefault="00D91481">
            <w:pPr>
              <w:rPr>
                <w:rFonts w:ascii="Arial" w:eastAsia="Arial" w:hAnsi="Arial" w:cs="Arial"/>
                <w:color w:val="0000FF"/>
                <w:sz w:val="20"/>
                <w:szCs w:val="20"/>
              </w:rPr>
            </w:pPr>
            <w:proofErr w:type="spellStart"/>
            <w:r>
              <w:rPr>
                <w:rFonts w:ascii="Arial" w:eastAsia="Arial" w:hAnsi="Arial" w:cs="Arial"/>
                <w:color w:val="0000FF"/>
                <w:sz w:val="20"/>
                <w:szCs w:val="20"/>
              </w:rPr>
              <w:t>Therms</w:t>
            </w:r>
            <w:proofErr w:type="spellEnd"/>
            <w:r>
              <w:rPr>
                <w:rFonts w:ascii="Arial" w:eastAsia="Arial" w:hAnsi="Arial" w:cs="Arial"/>
                <w:color w:val="0000FF"/>
                <w:sz w:val="20"/>
                <w:szCs w:val="20"/>
              </w:rPr>
              <w:t xml:space="preserve"> per occupied room</w:t>
            </w:r>
          </w:p>
        </w:tc>
        <w:tc>
          <w:tcPr>
            <w:tcW w:w="4568" w:type="dxa"/>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Track monthly consumption and normalize for occupancy</w:t>
            </w:r>
          </w:p>
        </w:tc>
      </w:tr>
      <w:tr w:rsidR="008624BA">
        <w:trPr>
          <w:cantSplit/>
          <w:trHeight w:val="610"/>
        </w:trPr>
        <w:tc>
          <w:tcPr>
            <w:tcW w:w="3071" w:type="dxa"/>
          </w:tcPr>
          <w:p w:rsidR="008624BA" w:rsidRDefault="00D91481">
            <w:pPr>
              <w:rPr>
                <w:rFonts w:ascii="Arial" w:eastAsia="Arial" w:hAnsi="Arial" w:cs="Arial"/>
                <w:color w:val="0000FF"/>
                <w:sz w:val="20"/>
                <w:szCs w:val="20"/>
              </w:rPr>
            </w:pPr>
            <w:r>
              <w:rPr>
                <w:rFonts w:ascii="Arial" w:eastAsia="Arial" w:hAnsi="Arial" w:cs="Arial"/>
                <w:color w:val="0000FF"/>
                <w:sz w:val="20"/>
                <w:szCs w:val="20"/>
              </w:rPr>
              <w:t>Water usage per occupied room</w:t>
            </w:r>
          </w:p>
        </w:tc>
        <w:tc>
          <w:tcPr>
            <w:tcW w:w="3071" w:type="dxa"/>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HCF</w:t>
            </w:r>
          </w:p>
          <w:p w:rsidR="008624BA" w:rsidRDefault="00D91481">
            <w:pPr>
              <w:rPr>
                <w:rFonts w:ascii="Arial" w:eastAsia="Arial" w:hAnsi="Arial" w:cs="Arial"/>
                <w:color w:val="0000FF"/>
                <w:sz w:val="20"/>
                <w:szCs w:val="20"/>
              </w:rPr>
            </w:pPr>
            <w:r>
              <w:rPr>
                <w:rFonts w:ascii="Arial" w:eastAsia="Arial" w:hAnsi="Arial" w:cs="Arial"/>
                <w:color w:val="0000FF"/>
                <w:sz w:val="20"/>
                <w:szCs w:val="20"/>
              </w:rPr>
              <w:t>HCF per occupied room</w:t>
            </w:r>
          </w:p>
        </w:tc>
        <w:tc>
          <w:tcPr>
            <w:tcW w:w="4568" w:type="dxa"/>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Track monthly consumption and normalize for occupancy</w:t>
            </w:r>
          </w:p>
        </w:tc>
      </w:tr>
      <w:tr w:rsidR="008624BA">
        <w:trPr>
          <w:cantSplit/>
          <w:trHeight w:val="610"/>
        </w:trPr>
        <w:tc>
          <w:tcPr>
            <w:tcW w:w="3071" w:type="dxa"/>
          </w:tcPr>
          <w:p w:rsidR="008624BA" w:rsidRDefault="00D91481">
            <w:pPr>
              <w:rPr>
                <w:rFonts w:ascii="Arial" w:eastAsia="Arial" w:hAnsi="Arial" w:cs="Arial"/>
                <w:color w:val="0000FF"/>
                <w:sz w:val="20"/>
                <w:szCs w:val="20"/>
              </w:rPr>
            </w:pPr>
            <w:r>
              <w:rPr>
                <w:rFonts w:ascii="Arial" w:eastAsia="Arial" w:hAnsi="Arial" w:cs="Arial"/>
                <w:color w:val="0000FF"/>
                <w:sz w:val="20"/>
                <w:szCs w:val="20"/>
              </w:rPr>
              <w:t>Chiller plant performance</w:t>
            </w:r>
          </w:p>
        </w:tc>
        <w:tc>
          <w:tcPr>
            <w:tcW w:w="3071" w:type="dxa"/>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kW/ton of cooling load</w:t>
            </w:r>
          </w:p>
        </w:tc>
        <w:tc>
          <w:tcPr>
            <w:tcW w:w="4568" w:type="dxa"/>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Monitor energy performance of chillers, pumps, and ancillary equipment</w:t>
            </w:r>
          </w:p>
        </w:tc>
      </w:tr>
      <w:tr w:rsidR="008624BA">
        <w:trPr>
          <w:cantSplit/>
          <w:trHeight w:val="610"/>
        </w:trPr>
        <w:tc>
          <w:tcPr>
            <w:tcW w:w="3071" w:type="dxa"/>
          </w:tcPr>
          <w:p w:rsidR="008624BA" w:rsidRDefault="00D91481">
            <w:pPr>
              <w:rPr>
                <w:rFonts w:ascii="Arial" w:eastAsia="Arial" w:hAnsi="Arial" w:cs="Arial"/>
                <w:color w:val="0000FF"/>
                <w:sz w:val="20"/>
                <w:szCs w:val="20"/>
              </w:rPr>
            </w:pPr>
            <w:r>
              <w:rPr>
                <w:rFonts w:ascii="Arial" w:eastAsia="Arial" w:hAnsi="Arial" w:cs="Arial"/>
                <w:color w:val="0000FF"/>
                <w:sz w:val="20"/>
                <w:szCs w:val="20"/>
              </w:rPr>
              <w:t>Boiler plant performance</w:t>
            </w:r>
          </w:p>
        </w:tc>
        <w:tc>
          <w:tcPr>
            <w:tcW w:w="3071" w:type="dxa"/>
            <w:vAlign w:val="center"/>
          </w:tcPr>
          <w:p w:rsidR="008624BA" w:rsidRDefault="00D91481">
            <w:pPr>
              <w:rPr>
                <w:rFonts w:ascii="Arial" w:eastAsia="Arial" w:hAnsi="Arial" w:cs="Arial"/>
                <w:color w:val="0000FF"/>
                <w:sz w:val="20"/>
                <w:szCs w:val="20"/>
              </w:rPr>
            </w:pPr>
            <w:proofErr w:type="spellStart"/>
            <w:r>
              <w:rPr>
                <w:rFonts w:ascii="Arial" w:eastAsia="Arial" w:hAnsi="Arial" w:cs="Arial"/>
                <w:color w:val="0000FF"/>
                <w:sz w:val="20"/>
                <w:szCs w:val="20"/>
              </w:rPr>
              <w:t>Therms</w:t>
            </w:r>
            <w:proofErr w:type="spellEnd"/>
            <w:r>
              <w:rPr>
                <w:rFonts w:ascii="Arial" w:eastAsia="Arial" w:hAnsi="Arial" w:cs="Arial"/>
                <w:color w:val="0000FF"/>
                <w:sz w:val="20"/>
                <w:szCs w:val="20"/>
              </w:rPr>
              <w:t xml:space="preserve"> per </w:t>
            </w:r>
            <w:proofErr w:type="spellStart"/>
            <w:r>
              <w:rPr>
                <w:rFonts w:ascii="Arial" w:eastAsia="Arial" w:hAnsi="Arial" w:cs="Arial"/>
                <w:color w:val="0000FF"/>
                <w:sz w:val="20"/>
                <w:szCs w:val="20"/>
                <w:vertAlign w:val="superscript"/>
              </w:rPr>
              <w:t>o</w:t>
            </w:r>
            <w:r>
              <w:rPr>
                <w:rFonts w:ascii="Arial" w:eastAsia="Arial" w:hAnsi="Arial" w:cs="Arial"/>
                <w:color w:val="0000FF"/>
                <w:sz w:val="20"/>
                <w:szCs w:val="20"/>
              </w:rPr>
              <w:t>F</w:t>
            </w:r>
            <w:proofErr w:type="spellEnd"/>
            <w:r>
              <w:rPr>
                <w:rFonts w:ascii="Arial" w:eastAsia="Arial" w:hAnsi="Arial" w:cs="Arial"/>
                <w:color w:val="0000FF"/>
                <w:sz w:val="20"/>
                <w:szCs w:val="20"/>
              </w:rPr>
              <w:t xml:space="preserve"> of outside air temperature</w:t>
            </w:r>
          </w:p>
        </w:tc>
        <w:tc>
          <w:tcPr>
            <w:tcW w:w="4568" w:type="dxa"/>
            <w:vAlign w:val="center"/>
          </w:tcPr>
          <w:p w:rsidR="008624BA" w:rsidRDefault="00D91481">
            <w:pPr>
              <w:rPr>
                <w:rFonts w:ascii="Arial" w:eastAsia="Arial" w:hAnsi="Arial" w:cs="Arial"/>
                <w:color w:val="0000FF"/>
                <w:sz w:val="20"/>
                <w:szCs w:val="20"/>
              </w:rPr>
            </w:pPr>
            <w:r>
              <w:rPr>
                <w:rFonts w:ascii="Arial" w:eastAsia="Arial" w:hAnsi="Arial" w:cs="Arial"/>
                <w:color w:val="0000FF"/>
                <w:sz w:val="20"/>
                <w:szCs w:val="20"/>
              </w:rPr>
              <w:t>Monitor natural gas input to boilers and trend against daily/hourly outside air temperatures</w:t>
            </w:r>
          </w:p>
        </w:tc>
      </w:tr>
    </w:tbl>
    <w:p w:rsidR="008624BA" w:rsidRDefault="008624BA">
      <w:pPr>
        <w:spacing w:after="240"/>
        <w:ind w:right="-576"/>
        <w:rPr>
          <w:rFonts w:ascii="Arial" w:eastAsia="Arial" w:hAnsi="Arial" w:cs="Arial"/>
          <w:color w:val="000000"/>
          <w:sz w:val="20"/>
          <w:szCs w:val="20"/>
          <w:u w:val="single"/>
        </w:rPr>
      </w:pPr>
    </w:p>
    <w:p w:rsidR="008624BA" w:rsidRDefault="008624BA">
      <w:pPr>
        <w:spacing w:after="240"/>
        <w:ind w:right="-576"/>
        <w:rPr>
          <w:rFonts w:ascii="Arial" w:eastAsia="Arial" w:hAnsi="Arial" w:cs="Arial"/>
          <w:color w:val="000000"/>
          <w:sz w:val="20"/>
          <w:szCs w:val="20"/>
          <w:u w:val="single"/>
        </w:rPr>
      </w:pPr>
    </w:p>
    <w:p w:rsidR="008624BA" w:rsidRDefault="00D91481">
      <w:pPr>
        <w:numPr>
          <w:ilvl w:val="0"/>
          <w:numId w:val="2"/>
        </w:numPr>
        <w:pBdr>
          <w:top w:val="nil"/>
          <w:left w:val="nil"/>
          <w:bottom w:val="nil"/>
          <w:right w:val="nil"/>
          <w:between w:val="nil"/>
        </w:pBdr>
        <w:spacing w:after="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Develop an energy baseline (</w:t>
      </w:r>
      <w:proofErr w:type="spellStart"/>
      <w:r>
        <w:rPr>
          <w:rFonts w:ascii="Arial" w:eastAsia="Arial" w:hAnsi="Arial" w:cs="Arial"/>
          <w:color w:val="000000"/>
          <w:sz w:val="20"/>
          <w:szCs w:val="20"/>
          <w:u w:val="single"/>
        </w:rPr>
        <w:t>EnB</w:t>
      </w:r>
      <w:proofErr w:type="spellEnd"/>
      <w:r>
        <w:rPr>
          <w:rFonts w:ascii="Arial" w:eastAsia="Arial" w:hAnsi="Arial" w:cs="Arial"/>
          <w:color w:val="000000"/>
          <w:sz w:val="20"/>
          <w:szCs w:val="20"/>
          <w:u w:val="single"/>
        </w:rPr>
        <w:t xml:space="preserve">) for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 xml:space="preserve"> in order to later determine energy performance improvement.</w:t>
      </w:r>
    </w:p>
    <w:p w:rsidR="008624BA" w:rsidRDefault="008624BA">
      <w:pPr>
        <w:pBdr>
          <w:top w:val="nil"/>
          <w:left w:val="nil"/>
          <w:bottom w:val="nil"/>
          <w:right w:val="nil"/>
          <w:between w:val="nil"/>
        </w:pBdr>
        <w:ind w:left="720"/>
        <w:rPr>
          <w:rFonts w:ascii="Arial" w:eastAsia="Arial" w:hAnsi="Arial" w:cs="Arial"/>
          <w:color w:val="000000"/>
          <w:sz w:val="20"/>
          <w:szCs w:val="20"/>
          <w:u w:val="single"/>
        </w:rPr>
      </w:pPr>
    </w:p>
    <w:p w:rsidR="008624BA" w:rsidRDefault="00D91481">
      <w:pPr>
        <w:keepNext/>
        <w:spacing w:after="120" w:line="240" w:lineRule="auto"/>
        <w:ind w:right="-576" w:hanging="634"/>
        <w:rPr>
          <w:rFonts w:ascii="Arial" w:eastAsia="Arial" w:hAnsi="Arial" w:cs="Arial"/>
          <w:color w:val="000000"/>
          <w:sz w:val="20"/>
          <w:szCs w:val="20"/>
        </w:rPr>
      </w:pPr>
      <w:r>
        <w:rPr>
          <w:rFonts w:ascii="Arial" w:eastAsia="Arial" w:hAnsi="Arial" w:cs="Arial"/>
          <w:color w:val="000000"/>
          <w:sz w:val="20"/>
          <w:szCs w:val="20"/>
        </w:rPr>
        <w:t xml:space="preserve">Providing responses to the questions below can help in identifying the relevant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 xml:space="preserve"> for the established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w:t>
      </w: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4531"/>
        <w:gridCol w:w="5670"/>
      </w:tblGrid>
      <w:tr w:rsidR="008624BA">
        <w:trPr>
          <w:trHeight w:val="215"/>
        </w:trPr>
        <w:tc>
          <w:tcPr>
            <w:tcW w:w="509" w:type="dxa"/>
            <w:vAlign w:val="center"/>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rsidR="008624BA" w:rsidRDefault="00D91481">
            <w:pPr>
              <w:keepNext/>
              <w:spacing w:after="240" w:line="240" w:lineRule="auto"/>
              <w:ind w:right="-113"/>
              <w:rPr>
                <w:rFonts w:ascii="Arial" w:eastAsia="Arial" w:hAnsi="Arial" w:cs="Arial"/>
                <w:color w:val="000000"/>
                <w:sz w:val="20"/>
                <w:szCs w:val="20"/>
              </w:rPr>
            </w:pPr>
            <w:r>
              <w:rPr>
                <w:rFonts w:ascii="Arial" w:eastAsia="Arial" w:hAnsi="Arial" w:cs="Arial"/>
                <w:color w:val="000000"/>
                <w:sz w:val="20"/>
                <w:szCs w:val="20"/>
              </w:rPr>
              <w:t xml:space="preserve">How will each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be used for evaluating energy performance? Is there a logical </w:t>
            </w:r>
            <w:proofErr w:type="spellStart"/>
            <w:r>
              <w:rPr>
                <w:rFonts w:ascii="Arial" w:eastAsia="Arial" w:hAnsi="Arial" w:cs="Arial"/>
                <w:color w:val="000000"/>
                <w:sz w:val="20"/>
                <w:szCs w:val="20"/>
              </w:rPr>
              <w:t>EnB</w:t>
            </w:r>
            <w:proofErr w:type="spellEnd"/>
            <w:r>
              <w:rPr>
                <w:rFonts w:ascii="Arial" w:eastAsia="Arial" w:hAnsi="Arial" w:cs="Arial"/>
                <w:color w:val="000000"/>
                <w:sz w:val="20"/>
                <w:szCs w:val="20"/>
              </w:rPr>
              <w:t xml:space="preserve"> for each?</w:t>
            </w:r>
          </w:p>
        </w:tc>
        <w:tc>
          <w:tcPr>
            <w:tcW w:w="5670" w:type="dxa"/>
            <w:vAlign w:val="center"/>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We use an established baseline over the period pre-2020 to determine how significant a deviation either up or down we would observe. We use our current methods for measuring at first but most likely expand to a more detailed way to gather the data.</w:t>
            </w:r>
          </w:p>
        </w:tc>
      </w:tr>
      <w:tr w:rsidR="008624BA">
        <w:trPr>
          <w:trHeight w:val="215"/>
        </w:trPr>
        <w:tc>
          <w:tcPr>
            <w:tcW w:w="509" w:type="dxa"/>
            <w:vAlign w:val="center"/>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What are the historical changes to facilities, equipment, systems, processes, or organization that would change how energy performance is evaluated?</w:t>
            </w:r>
          </w:p>
        </w:tc>
        <w:tc>
          <w:tcPr>
            <w:tcW w:w="5670" w:type="dxa"/>
            <w:vAlign w:val="center"/>
          </w:tcPr>
          <w:p w:rsidR="008624BA" w:rsidRDefault="00D91481">
            <w:pPr>
              <w:keepNext/>
              <w:spacing w:before="50" w:after="50" w:line="240" w:lineRule="auto"/>
              <w:rPr>
                <w:rFonts w:ascii="Arial" w:eastAsia="Arial" w:hAnsi="Arial" w:cs="Arial"/>
                <w:color w:val="0000FF"/>
                <w:sz w:val="20"/>
                <w:szCs w:val="20"/>
              </w:rPr>
            </w:pPr>
            <w:bookmarkStart w:id="4" w:name="_heading=h.3znysh7" w:colFirst="0" w:colLast="0"/>
            <w:bookmarkEnd w:id="4"/>
            <w:r>
              <w:rPr>
                <w:rFonts w:ascii="Arial" w:eastAsia="Arial" w:hAnsi="Arial" w:cs="Arial"/>
                <w:color w:val="0000FF"/>
                <w:sz w:val="20"/>
                <w:szCs w:val="20"/>
              </w:rPr>
              <w:t xml:space="preserve">We start with an “average” year (2019) as the </w:t>
            </w:r>
            <w:proofErr w:type="spellStart"/>
            <w:r>
              <w:rPr>
                <w:rFonts w:ascii="Arial" w:eastAsia="Arial" w:hAnsi="Arial" w:cs="Arial"/>
                <w:color w:val="0000FF"/>
                <w:sz w:val="20"/>
                <w:szCs w:val="20"/>
              </w:rPr>
              <w:t>EnB</w:t>
            </w:r>
            <w:proofErr w:type="spellEnd"/>
            <w:r>
              <w:rPr>
                <w:rFonts w:ascii="Arial" w:eastAsia="Arial" w:hAnsi="Arial" w:cs="Arial"/>
                <w:color w:val="0000FF"/>
                <w:sz w:val="20"/>
                <w:szCs w:val="20"/>
              </w:rPr>
              <w:t xml:space="preserve">, but pandemic-related business disruptions may require future adjustments to the </w:t>
            </w:r>
            <w:proofErr w:type="spellStart"/>
            <w:r>
              <w:rPr>
                <w:rFonts w:ascii="Arial" w:eastAsia="Arial" w:hAnsi="Arial" w:cs="Arial"/>
                <w:color w:val="0000FF"/>
                <w:sz w:val="20"/>
                <w:szCs w:val="20"/>
              </w:rPr>
              <w:t>EnB</w:t>
            </w:r>
            <w:proofErr w:type="spellEnd"/>
            <w:r>
              <w:rPr>
                <w:rFonts w:ascii="Arial" w:eastAsia="Arial" w:hAnsi="Arial" w:cs="Arial"/>
                <w:color w:val="0000FF"/>
                <w:sz w:val="20"/>
                <w:szCs w:val="20"/>
              </w:rPr>
              <w:t>. Different ways of doing business, ventilation requirements, and changes to CDC guidelines or even statutes may create a new baseline that would be used moving forward.</w:t>
            </w:r>
          </w:p>
        </w:tc>
      </w:tr>
      <w:tr w:rsidR="008624BA">
        <w:trPr>
          <w:trHeight w:val="215"/>
        </w:trPr>
        <w:tc>
          <w:tcPr>
            <w:tcW w:w="509" w:type="dxa"/>
            <w:vAlign w:val="center"/>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 xml:space="preserve">What stakeholder interests should be considered when establishing </w:t>
            </w:r>
            <w:proofErr w:type="spellStart"/>
            <w:r>
              <w:rPr>
                <w:rFonts w:ascii="Arial" w:eastAsia="Arial" w:hAnsi="Arial" w:cs="Arial"/>
                <w:color w:val="000000"/>
                <w:sz w:val="20"/>
                <w:szCs w:val="20"/>
              </w:rPr>
              <w:t>EnB</w:t>
            </w:r>
            <w:proofErr w:type="spellEnd"/>
            <w:r>
              <w:rPr>
                <w:rFonts w:ascii="Arial" w:eastAsia="Arial" w:hAnsi="Arial" w:cs="Arial"/>
                <w:color w:val="000000"/>
                <w:sz w:val="20"/>
                <w:szCs w:val="20"/>
              </w:rPr>
              <w:t xml:space="preserve"> for the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w:t>
            </w:r>
          </w:p>
        </w:tc>
        <w:tc>
          <w:tcPr>
            <w:tcW w:w="5670" w:type="dxa"/>
            <w:vAlign w:val="center"/>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Financial. Quality of guest experience. Adhering to local guidelines. Avoiding union issues and keeping colleague involvement and experience high.</w:t>
            </w:r>
          </w:p>
        </w:tc>
      </w:tr>
      <w:tr w:rsidR="008624BA">
        <w:trPr>
          <w:trHeight w:val="215"/>
        </w:trPr>
        <w:tc>
          <w:tcPr>
            <w:tcW w:w="509" w:type="dxa"/>
            <w:vAlign w:val="center"/>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 xml:space="preserve">Are there strategic initiatives that would be measured or influenced by one or more of the established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Is there an </w:t>
            </w:r>
            <w:proofErr w:type="spellStart"/>
            <w:r>
              <w:rPr>
                <w:rFonts w:ascii="Arial" w:eastAsia="Arial" w:hAnsi="Arial" w:cs="Arial"/>
                <w:color w:val="000000"/>
                <w:sz w:val="20"/>
                <w:szCs w:val="20"/>
              </w:rPr>
              <w:t>EnB</w:t>
            </w:r>
            <w:proofErr w:type="spellEnd"/>
            <w:r>
              <w:rPr>
                <w:rFonts w:ascii="Arial" w:eastAsia="Arial" w:hAnsi="Arial" w:cs="Arial"/>
                <w:color w:val="000000"/>
                <w:sz w:val="20"/>
                <w:szCs w:val="20"/>
              </w:rPr>
              <w:t xml:space="preserve"> associated with these strategic initiatives?</w:t>
            </w:r>
          </w:p>
        </w:tc>
        <w:tc>
          <w:tcPr>
            <w:tcW w:w="5670" w:type="dxa"/>
            <w:vAlign w:val="center"/>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None identified at this time</w:t>
            </w:r>
            <w:r w:rsidR="000635A5">
              <w:rPr>
                <w:rFonts w:ascii="Arial" w:eastAsia="Arial" w:hAnsi="Arial" w:cs="Arial"/>
                <w:color w:val="0000FF"/>
                <w:sz w:val="20"/>
                <w:szCs w:val="20"/>
              </w:rPr>
              <w:t>.</w:t>
            </w:r>
          </w:p>
        </w:tc>
      </w:tr>
      <w:tr w:rsidR="008624BA">
        <w:trPr>
          <w:trHeight w:val="215"/>
        </w:trPr>
        <w:tc>
          <w:tcPr>
            <w:tcW w:w="509" w:type="dxa"/>
            <w:vAlign w:val="center"/>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4531" w:type="dxa"/>
            <w:vAlign w:val="center"/>
          </w:tcPr>
          <w:p w:rsidR="008624BA" w:rsidRDefault="00D91481">
            <w:pPr>
              <w:keepNext/>
              <w:spacing w:after="240" w:line="240" w:lineRule="auto"/>
              <w:ind w:right="-107"/>
              <w:rPr>
                <w:rFonts w:ascii="Arial" w:eastAsia="Arial" w:hAnsi="Arial" w:cs="Arial"/>
                <w:color w:val="000000"/>
                <w:sz w:val="20"/>
                <w:szCs w:val="20"/>
              </w:rPr>
            </w:pPr>
            <w:r>
              <w:rPr>
                <w:rFonts w:ascii="Arial" w:eastAsia="Arial" w:hAnsi="Arial" w:cs="Arial"/>
                <w:color w:val="000000"/>
                <w:sz w:val="20"/>
                <w:szCs w:val="20"/>
              </w:rPr>
              <w:t xml:space="preserve">What are the historical periods that have reliable, consistent data for the established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w:t>
            </w:r>
          </w:p>
        </w:tc>
        <w:tc>
          <w:tcPr>
            <w:tcW w:w="5670" w:type="dxa"/>
            <w:vAlign w:val="center"/>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 xml:space="preserve">We have historical data regarding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dating back to 2011. We are unlikely to use the data from 2020 and possibly 2021 due to the atypical occupancy rates and energy consumption due to the pandemic. While the records are accurate, they do not reflect a standard year of normal operations.</w:t>
            </w:r>
          </w:p>
        </w:tc>
      </w:tr>
    </w:tbl>
    <w:p w:rsidR="008624BA" w:rsidRDefault="008624BA">
      <w:pPr>
        <w:spacing w:after="240"/>
        <w:ind w:right="-576"/>
        <w:rPr>
          <w:rFonts w:ascii="Arial" w:eastAsia="Arial" w:hAnsi="Arial" w:cs="Arial"/>
          <w:color w:val="000000"/>
          <w:sz w:val="20"/>
          <w:szCs w:val="20"/>
          <w:u w:val="single"/>
        </w:rPr>
      </w:pPr>
    </w:p>
    <w:p w:rsidR="008624BA" w:rsidRDefault="00D91481">
      <w:pPr>
        <w:numPr>
          <w:ilvl w:val="0"/>
          <w:numId w:val="2"/>
        </w:numPr>
        <w:pBdr>
          <w:top w:val="nil"/>
          <w:left w:val="nil"/>
          <w:bottom w:val="nil"/>
          <w:right w:val="nil"/>
          <w:between w:val="nil"/>
        </w:pBdr>
        <w:spacing w:after="0"/>
        <w:ind w:right="-576"/>
        <w:rPr>
          <w:rFonts w:ascii="Arial" w:eastAsia="Arial" w:hAnsi="Arial" w:cs="Arial"/>
          <w:color w:val="000000"/>
          <w:sz w:val="20"/>
          <w:szCs w:val="20"/>
          <w:u w:val="single"/>
        </w:rPr>
      </w:pPr>
      <w:r>
        <w:rPr>
          <w:rFonts w:ascii="Arial" w:eastAsia="Arial" w:hAnsi="Arial" w:cs="Arial"/>
          <w:color w:val="000000"/>
          <w:sz w:val="20"/>
          <w:szCs w:val="20"/>
          <w:u w:val="single"/>
        </w:rPr>
        <w:t xml:space="preserve">Communicate proposed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 xml:space="preserve"> and </w:t>
      </w:r>
      <w:proofErr w:type="spellStart"/>
      <w:r>
        <w:rPr>
          <w:rFonts w:ascii="Arial" w:eastAsia="Arial" w:hAnsi="Arial" w:cs="Arial"/>
          <w:color w:val="000000"/>
          <w:sz w:val="20"/>
          <w:szCs w:val="20"/>
          <w:u w:val="single"/>
        </w:rPr>
        <w:t>EnBs</w:t>
      </w:r>
      <w:proofErr w:type="spellEnd"/>
      <w:r>
        <w:rPr>
          <w:rFonts w:ascii="Arial" w:eastAsia="Arial" w:hAnsi="Arial" w:cs="Arial"/>
          <w:color w:val="000000"/>
          <w:sz w:val="20"/>
          <w:szCs w:val="20"/>
          <w:u w:val="single"/>
        </w:rPr>
        <w:t xml:space="preserve"> to top management so they can ensure the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 xml:space="preserve"> and </w:t>
      </w:r>
      <w:proofErr w:type="spellStart"/>
      <w:r>
        <w:rPr>
          <w:rFonts w:ascii="Arial" w:eastAsia="Arial" w:hAnsi="Arial" w:cs="Arial"/>
          <w:color w:val="000000"/>
          <w:sz w:val="20"/>
          <w:szCs w:val="20"/>
          <w:u w:val="single"/>
        </w:rPr>
        <w:t>EnBs</w:t>
      </w:r>
      <w:proofErr w:type="spellEnd"/>
      <w:r>
        <w:rPr>
          <w:rFonts w:ascii="Arial" w:eastAsia="Arial" w:hAnsi="Arial" w:cs="Arial"/>
          <w:color w:val="000000"/>
          <w:sz w:val="20"/>
          <w:szCs w:val="20"/>
          <w:u w:val="single"/>
        </w:rPr>
        <w:t xml:space="preserve"> are appropriate for the organization.</w:t>
      </w:r>
    </w:p>
    <w:p w:rsidR="008624BA" w:rsidRDefault="008624BA">
      <w:pPr>
        <w:pBdr>
          <w:top w:val="nil"/>
          <w:left w:val="nil"/>
          <w:bottom w:val="nil"/>
          <w:right w:val="nil"/>
          <w:between w:val="nil"/>
        </w:pBdr>
        <w:spacing w:after="240"/>
        <w:ind w:left="-446" w:right="-576"/>
        <w:rPr>
          <w:rFonts w:ascii="Arial" w:eastAsia="Arial" w:hAnsi="Arial" w:cs="Arial"/>
          <w:color w:val="000000"/>
          <w:sz w:val="20"/>
          <w:szCs w:val="20"/>
          <w:u w:val="single"/>
        </w:rPr>
      </w:pPr>
    </w:p>
    <w:p w:rsidR="008624BA" w:rsidRDefault="00D91481">
      <w:pPr>
        <w:spacing w:line="240" w:lineRule="auto"/>
        <w:ind w:left="-810" w:right="-720"/>
        <w:rPr>
          <w:rFonts w:ascii="Arial" w:eastAsia="Arial" w:hAnsi="Arial" w:cs="Arial"/>
          <w:color w:val="000000"/>
          <w:sz w:val="20"/>
          <w:szCs w:val="20"/>
        </w:rPr>
      </w:pPr>
      <w:r>
        <w:rPr>
          <w:rFonts w:ascii="Arial" w:eastAsia="Arial" w:hAnsi="Arial" w:cs="Arial"/>
          <w:color w:val="000000"/>
          <w:sz w:val="20"/>
          <w:szCs w:val="20"/>
        </w:rPr>
        <w:t xml:space="preserve">☒ Identified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and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 xml:space="preserve"> have been approved by top management.</w:t>
      </w:r>
    </w:p>
    <w:tbl>
      <w:tblPr>
        <w:tblStyle w:val="a4"/>
        <w:tblW w:w="9661"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7591"/>
      </w:tblGrid>
      <w:tr w:rsidR="008624BA">
        <w:trPr>
          <w:trHeight w:val="242"/>
        </w:trPr>
        <w:tc>
          <w:tcPr>
            <w:tcW w:w="2070" w:type="dxa"/>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approved?</w:t>
            </w:r>
          </w:p>
        </w:tc>
        <w:tc>
          <w:tcPr>
            <w:tcW w:w="7591" w:type="dxa"/>
          </w:tcPr>
          <w:p w:rsidR="008624BA" w:rsidRDefault="00D91481">
            <w:pPr>
              <w:spacing w:before="50" w:after="50" w:line="240" w:lineRule="auto"/>
              <w:ind w:right="99"/>
              <w:rPr>
                <w:rFonts w:ascii="Arial" w:eastAsia="Arial" w:hAnsi="Arial" w:cs="Arial"/>
                <w:color w:val="0000FF"/>
                <w:sz w:val="20"/>
                <w:szCs w:val="20"/>
              </w:rPr>
            </w:pPr>
            <w:r>
              <w:rPr>
                <w:rFonts w:ascii="Arial" w:eastAsia="Arial" w:hAnsi="Arial" w:cs="Arial"/>
                <w:color w:val="0000FF"/>
                <w:sz w:val="20"/>
                <w:szCs w:val="20"/>
              </w:rPr>
              <w:t>General Manager</w:t>
            </w:r>
          </w:p>
        </w:tc>
      </w:tr>
      <w:tr w:rsidR="008624BA">
        <w:trPr>
          <w:trHeight w:val="179"/>
        </w:trPr>
        <w:tc>
          <w:tcPr>
            <w:tcW w:w="2070" w:type="dxa"/>
            <w:vAlign w:val="center"/>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When approved?</w:t>
            </w:r>
          </w:p>
        </w:tc>
        <w:tc>
          <w:tcPr>
            <w:tcW w:w="7591" w:type="dxa"/>
            <w:vAlign w:val="center"/>
          </w:tcPr>
          <w:p w:rsidR="008624BA" w:rsidRDefault="00D91481">
            <w:pPr>
              <w:spacing w:before="50" w:after="50" w:line="240" w:lineRule="auto"/>
              <w:ind w:right="99"/>
              <w:rPr>
                <w:rFonts w:ascii="Arial" w:eastAsia="Arial" w:hAnsi="Arial" w:cs="Arial"/>
                <w:color w:val="0000FF"/>
                <w:sz w:val="20"/>
                <w:szCs w:val="20"/>
              </w:rPr>
            </w:pPr>
            <w:r>
              <w:rPr>
                <w:rFonts w:ascii="Arial" w:eastAsia="Arial" w:hAnsi="Arial" w:cs="Arial"/>
                <w:color w:val="0000FF"/>
                <w:sz w:val="20"/>
                <w:szCs w:val="20"/>
              </w:rPr>
              <w:t>5/15/21</w:t>
            </w:r>
          </w:p>
        </w:tc>
      </w:tr>
    </w:tbl>
    <w:p w:rsidR="008624BA" w:rsidRDefault="008624BA">
      <w:pPr>
        <w:pBdr>
          <w:top w:val="nil"/>
          <w:left w:val="nil"/>
          <w:bottom w:val="nil"/>
          <w:right w:val="nil"/>
          <w:between w:val="nil"/>
        </w:pBdr>
        <w:spacing w:after="0"/>
        <w:ind w:left="-446" w:right="-576"/>
        <w:rPr>
          <w:rFonts w:ascii="Arial" w:eastAsia="Arial" w:hAnsi="Arial" w:cs="Arial"/>
          <w:color w:val="000000"/>
          <w:sz w:val="20"/>
          <w:szCs w:val="20"/>
          <w:u w:val="single"/>
        </w:rPr>
      </w:pPr>
    </w:p>
    <w:p w:rsidR="008624BA" w:rsidRDefault="00D91481">
      <w:pPr>
        <w:numPr>
          <w:ilvl w:val="0"/>
          <w:numId w:val="2"/>
        </w:numPr>
        <w:pBdr>
          <w:top w:val="nil"/>
          <w:left w:val="nil"/>
          <w:bottom w:val="nil"/>
          <w:right w:val="nil"/>
          <w:between w:val="nil"/>
        </w:pBdr>
        <w:spacing w:after="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 xml:space="preserve">Record and regularly review the method used to determine and update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 xml:space="preserve"> and establish the conditions under which adjustments to the baseline(s) will be made.</w:t>
      </w:r>
    </w:p>
    <w:p w:rsidR="008624BA" w:rsidRDefault="008624BA">
      <w:pPr>
        <w:pBdr>
          <w:top w:val="nil"/>
          <w:left w:val="nil"/>
          <w:bottom w:val="nil"/>
          <w:right w:val="nil"/>
          <w:between w:val="nil"/>
        </w:pBdr>
        <w:spacing w:after="0"/>
        <w:ind w:left="720"/>
        <w:rPr>
          <w:rFonts w:ascii="Arial" w:eastAsia="Arial" w:hAnsi="Arial" w:cs="Arial"/>
          <w:color w:val="000000"/>
          <w:sz w:val="20"/>
          <w:szCs w:val="20"/>
          <w:u w:val="single"/>
        </w:rPr>
      </w:pPr>
    </w:p>
    <w:p w:rsidR="008624BA" w:rsidRDefault="00D91481">
      <w:pPr>
        <w:pBdr>
          <w:top w:val="nil"/>
          <w:left w:val="nil"/>
          <w:bottom w:val="nil"/>
          <w:right w:val="nil"/>
          <w:between w:val="nil"/>
        </w:pBdr>
        <w:spacing w:after="120"/>
        <w:ind w:left="-274" w:right="-446" w:hanging="446"/>
        <w:rPr>
          <w:rFonts w:ascii="Arial" w:eastAsia="Arial" w:hAnsi="Arial" w:cs="Arial"/>
          <w:color w:val="000000"/>
          <w:sz w:val="20"/>
          <w:szCs w:val="20"/>
        </w:rPr>
      </w:pPr>
      <w:bookmarkStart w:id="5" w:name="bookmark=id.2et92p0" w:colFirst="0" w:colLast="0"/>
      <w:bookmarkEnd w:id="5"/>
      <w:r>
        <w:rPr>
          <w:rFonts w:ascii="Arial" w:eastAsia="Arial" w:hAnsi="Arial" w:cs="Arial"/>
          <w:color w:val="000000"/>
          <w:sz w:val="20"/>
          <w:szCs w:val="20"/>
        </w:rPr>
        <w:t xml:space="preserve">☒ We maintain documented information on the methods we use to determine and update our organization’s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w:t>
      </w:r>
    </w:p>
    <w:tbl>
      <w:tblPr>
        <w:tblStyle w:val="a5"/>
        <w:tblW w:w="9661"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981"/>
      </w:tblGrid>
      <w:tr w:rsidR="008624BA">
        <w:trPr>
          <w:trHeight w:val="242"/>
        </w:trPr>
        <w:tc>
          <w:tcPr>
            <w:tcW w:w="4680" w:type="dxa"/>
          </w:tcPr>
          <w:p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t>Who maintains the documented information?</w:t>
            </w:r>
          </w:p>
        </w:tc>
        <w:tc>
          <w:tcPr>
            <w:tcW w:w="4981" w:type="dxa"/>
          </w:tcPr>
          <w:p w:rsidR="008624BA" w:rsidRDefault="00D91481">
            <w:pPr>
              <w:spacing w:before="50" w:after="50" w:line="240" w:lineRule="auto"/>
              <w:ind w:right="9"/>
              <w:rPr>
                <w:rFonts w:ascii="Arial" w:eastAsia="Arial" w:hAnsi="Arial" w:cs="Arial"/>
                <w:color w:val="0000FF"/>
                <w:sz w:val="20"/>
                <w:szCs w:val="20"/>
              </w:rPr>
            </w:pPr>
            <w:r>
              <w:rPr>
                <w:rFonts w:ascii="Arial" w:eastAsia="Arial" w:hAnsi="Arial" w:cs="Arial"/>
                <w:color w:val="0000FF"/>
                <w:sz w:val="20"/>
                <w:szCs w:val="20"/>
              </w:rPr>
              <w:t>Engineering Management</w:t>
            </w:r>
          </w:p>
        </w:tc>
      </w:tr>
      <w:tr w:rsidR="008624BA">
        <w:trPr>
          <w:trHeight w:val="242"/>
        </w:trPr>
        <w:tc>
          <w:tcPr>
            <w:tcW w:w="4680" w:type="dxa"/>
          </w:tcPr>
          <w:p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lastRenderedPageBreak/>
              <w:t>Where are these records maintained (e.g. energy manual or energy planning procedure)?</w:t>
            </w:r>
          </w:p>
        </w:tc>
        <w:tc>
          <w:tcPr>
            <w:tcW w:w="4981" w:type="dxa"/>
          </w:tcPr>
          <w:p w:rsidR="008624BA" w:rsidRDefault="00D91481">
            <w:pPr>
              <w:spacing w:before="50" w:after="50" w:line="240" w:lineRule="auto"/>
              <w:ind w:right="9"/>
              <w:rPr>
                <w:rFonts w:ascii="Arial" w:eastAsia="Arial" w:hAnsi="Arial" w:cs="Arial"/>
                <w:color w:val="0000FF"/>
                <w:sz w:val="20"/>
                <w:szCs w:val="20"/>
              </w:rPr>
            </w:pPr>
            <w:r>
              <w:rPr>
                <w:rFonts w:ascii="Arial" w:eastAsia="Arial" w:hAnsi="Arial" w:cs="Arial"/>
                <w:color w:val="0000FF"/>
                <w:sz w:val="20"/>
                <w:szCs w:val="20"/>
              </w:rPr>
              <w:t>link to shared Engineering folder on network drive</w:t>
            </w:r>
          </w:p>
        </w:tc>
      </w:tr>
    </w:tbl>
    <w:p w:rsidR="008624BA" w:rsidRDefault="008624BA">
      <w:pPr>
        <w:spacing w:after="240"/>
        <w:ind w:right="-576"/>
        <w:rPr>
          <w:rFonts w:ascii="Arial" w:eastAsia="Arial" w:hAnsi="Arial" w:cs="Arial"/>
          <w:color w:val="000000"/>
          <w:sz w:val="20"/>
          <w:szCs w:val="20"/>
          <w:u w:val="single"/>
        </w:rPr>
      </w:pPr>
    </w:p>
    <w:tbl>
      <w:tblPr>
        <w:tblStyle w:val="a6"/>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6421"/>
        <w:gridCol w:w="3780"/>
      </w:tblGrid>
      <w:tr w:rsidR="008624BA">
        <w:trPr>
          <w:trHeight w:val="242"/>
        </w:trPr>
        <w:tc>
          <w:tcPr>
            <w:tcW w:w="509" w:type="dxa"/>
          </w:tcPr>
          <w:p w:rsidR="008624BA" w:rsidRDefault="00D91481">
            <w:pPr>
              <w:spacing w:before="50" w:after="50" w:line="240" w:lineRule="auto"/>
              <w:ind w:right="-720"/>
              <w:rPr>
                <w:rFonts w:ascii="Arial" w:eastAsia="Arial" w:hAnsi="Arial" w:cs="Arial"/>
                <w:color w:val="000000"/>
                <w:sz w:val="20"/>
                <w:szCs w:val="20"/>
              </w:rPr>
            </w:pPr>
            <w:bookmarkStart w:id="6" w:name="bookmark=id.tyjcwt" w:colFirst="0" w:colLast="0"/>
            <w:bookmarkEnd w:id="6"/>
            <w:r>
              <w:rPr>
                <w:rFonts w:ascii="Arial" w:eastAsia="Arial" w:hAnsi="Arial" w:cs="Arial"/>
                <w:color w:val="000000"/>
                <w:sz w:val="20"/>
                <w:szCs w:val="20"/>
              </w:rPr>
              <w:t>☒</w:t>
            </w:r>
          </w:p>
        </w:tc>
        <w:tc>
          <w:tcPr>
            <w:tcW w:w="6421" w:type="dxa"/>
          </w:tcPr>
          <w:p w:rsidR="008624BA" w:rsidRDefault="00D91481">
            <w:pPr>
              <w:spacing w:before="50" w:after="50" w:line="240" w:lineRule="auto"/>
              <w:ind w:right="-109"/>
              <w:rPr>
                <w:rFonts w:ascii="Arial" w:eastAsia="Arial" w:hAnsi="Arial" w:cs="Arial"/>
                <w:color w:val="000000"/>
                <w:sz w:val="20"/>
                <w:szCs w:val="20"/>
              </w:rPr>
            </w:pPr>
            <w:r>
              <w:rPr>
                <w:rFonts w:ascii="Arial" w:eastAsia="Arial" w:hAnsi="Arial" w:cs="Arial"/>
                <w:color w:val="000000"/>
                <w:sz w:val="20"/>
                <w:szCs w:val="20"/>
              </w:rPr>
              <w:t xml:space="preserve">We evaluate any changes in facilities, equipment, systems, processes, operating procedures, materials, relevant variables, and many other factors. We adjust the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as necessary.</w:t>
            </w:r>
          </w:p>
        </w:tc>
        <w:tc>
          <w:tcPr>
            <w:tcW w:w="3780" w:type="dxa"/>
          </w:tcPr>
          <w:p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FF"/>
                <w:sz w:val="20"/>
                <w:szCs w:val="20"/>
              </w:rPr>
              <w:t xml:space="preserve">This will be a fluid strategy based on our observations during Green Team meetings, as well as observations from key members as they become more aware of </w:t>
            </w:r>
            <w:proofErr w:type="spellStart"/>
            <w:r>
              <w:rPr>
                <w:rFonts w:ascii="Arial" w:eastAsia="Arial" w:hAnsi="Arial" w:cs="Arial"/>
                <w:color w:val="0000FF"/>
                <w:sz w:val="20"/>
                <w:szCs w:val="20"/>
              </w:rPr>
              <w:t>EnPIs</w:t>
            </w:r>
            <w:proofErr w:type="spellEnd"/>
            <w:r>
              <w:rPr>
                <w:rFonts w:ascii="Arial" w:eastAsia="Arial" w:hAnsi="Arial" w:cs="Arial"/>
                <w:color w:val="0000FF"/>
                <w:sz w:val="20"/>
                <w:szCs w:val="20"/>
              </w:rPr>
              <w:t xml:space="preserve"> in their own areas. </w:t>
            </w:r>
          </w:p>
        </w:tc>
      </w:tr>
    </w:tbl>
    <w:p w:rsidR="008624BA" w:rsidRDefault="008624BA">
      <w:pPr>
        <w:spacing w:after="240"/>
        <w:ind w:right="-576"/>
        <w:rPr>
          <w:rFonts w:ascii="Arial" w:eastAsia="Arial" w:hAnsi="Arial" w:cs="Arial"/>
          <w:color w:val="000000"/>
          <w:sz w:val="20"/>
          <w:szCs w:val="20"/>
          <w:u w:val="single"/>
        </w:rPr>
      </w:pPr>
    </w:p>
    <w:p w:rsidR="008624BA" w:rsidRDefault="00D91481">
      <w:pPr>
        <w:numPr>
          <w:ilvl w:val="0"/>
          <w:numId w:val="2"/>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 xml:space="preserve">Compare </w:t>
      </w:r>
      <w:proofErr w:type="spellStart"/>
      <w:r>
        <w:rPr>
          <w:rFonts w:ascii="Arial" w:eastAsia="Arial" w:hAnsi="Arial" w:cs="Arial"/>
          <w:color w:val="000000"/>
          <w:sz w:val="20"/>
          <w:szCs w:val="20"/>
          <w:u w:val="single"/>
        </w:rPr>
        <w:t>EnPI</w:t>
      </w:r>
      <w:proofErr w:type="spellEnd"/>
      <w:r>
        <w:rPr>
          <w:rFonts w:ascii="Arial" w:eastAsia="Arial" w:hAnsi="Arial" w:cs="Arial"/>
          <w:color w:val="000000"/>
          <w:sz w:val="20"/>
          <w:szCs w:val="20"/>
          <w:u w:val="single"/>
        </w:rPr>
        <w:t xml:space="preserve"> values to their respective </w:t>
      </w:r>
      <w:proofErr w:type="spellStart"/>
      <w:r>
        <w:rPr>
          <w:rFonts w:ascii="Arial" w:eastAsia="Arial" w:hAnsi="Arial" w:cs="Arial"/>
          <w:color w:val="000000"/>
          <w:sz w:val="20"/>
          <w:szCs w:val="20"/>
          <w:u w:val="single"/>
        </w:rPr>
        <w:t>EnBs</w:t>
      </w:r>
      <w:proofErr w:type="spellEnd"/>
      <w:r>
        <w:rPr>
          <w:rFonts w:ascii="Arial" w:eastAsia="Arial" w:hAnsi="Arial" w:cs="Arial"/>
          <w:color w:val="000000"/>
          <w:sz w:val="20"/>
          <w:szCs w:val="20"/>
          <w:u w:val="single"/>
        </w:rPr>
        <w:t xml:space="preserve"> on a regular basis.</w:t>
      </w:r>
    </w:p>
    <w:tbl>
      <w:tblPr>
        <w:tblStyle w:val="a7"/>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251"/>
        <w:gridCol w:w="4950"/>
      </w:tblGrid>
      <w:tr w:rsidR="008624BA">
        <w:trPr>
          <w:trHeight w:val="242"/>
        </w:trPr>
        <w:tc>
          <w:tcPr>
            <w:tcW w:w="509" w:type="dxa"/>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rsidR="008624BA" w:rsidRDefault="00D91481">
            <w:pPr>
              <w:spacing w:before="50" w:after="50" w:line="240" w:lineRule="auto"/>
              <w:ind w:right="-20"/>
              <w:rPr>
                <w:rFonts w:ascii="Arial" w:eastAsia="Arial" w:hAnsi="Arial" w:cs="Arial"/>
                <w:color w:val="000000"/>
                <w:sz w:val="20"/>
                <w:szCs w:val="20"/>
              </w:rPr>
            </w:pP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values are reviewed and compared to their respective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 as appropriate.</w:t>
            </w:r>
          </w:p>
        </w:tc>
        <w:tc>
          <w:tcPr>
            <w:tcW w:w="4950" w:type="dxa"/>
          </w:tcPr>
          <w:p w:rsidR="008624BA" w:rsidRDefault="00D91481">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Pursuing these values being measured on a year-over-year basis with a pre-COVID year as the baseline. Done during strategy meetings.</w:t>
            </w:r>
          </w:p>
        </w:tc>
      </w:tr>
      <w:tr w:rsidR="008624BA">
        <w:trPr>
          <w:trHeight w:val="242"/>
        </w:trPr>
        <w:tc>
          <w:tcPr>
            <w:tcW w:w="509" w:type="dxa"/>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rsidR="008624BA" w:rsidRDefault="00D91481">
            <w:pPr>
              <w:spacing w:before="50" w:after="50" w:line="240" w:lineRule="auto"/>
              <w:ind w:right="-20"/>
              <w:rPr>
                <w:rFonts w:ascii="Arial" w:eastAsia="Arial" w:hAnsi="Arial" w:cs="Arial"/>
                <w:color w:val="000000"/>
                <w:sz w:val="20"/>
                <w:szCs w:val="20"/>
              </w:rPr>
            </w:pPr>
            <w:r>
              <w:rPr>
                <w:rFonts w:ascii="Arial" w:eastAsia="Arial" w:hAnsi="Arial" w:cs="Arial"/>
                <w:color w:val="000000"/>
                <w:sz w:val="20"/>
                <w:szCs w:val="20"/>
              </w:rPr>
              <w:t xml:space="preserve">Calculated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values and their associated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 xml:space="preserve"> are retained as documented information and periodically reviewed to determine if adjustments are required. </w:t>
            </w:r>
          </w:p>
        </w:tc>
        <w:tc>
          <w:tcPr>
            <w:tcW w:w="4950" w:type="dxa"/>
          </w:tcPr>
          <w:p w:rsidR="008624BA" w:rsidRDefault="00D91481">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Done when reviewing our current data collection sources. Adjustments would be made when significant deviations are observed but only after determining the cause of the deviation.</w:t>
            </w:r>
          </w:p>
        </w:tc>
      </w:tr>
      <w:tr w:rsidR="008624BA">
        <w:trPr>
          <w:trHeight w:val="242"/>
        </w:trPr>
        <w:tc>
          <w:tcPr>
            <w:tcW w:w="509" w:type="dxa"/>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rsidR="008624BA" w:rsidRDefault="00D91481">
            <w:pPr>
              <w:spacing w:before="50" w:after="50" w:line="240" w:lineRule="auto"/>
              <w:ind w:right="-20"/>
              <w:rPr>
                <w:rFonts w:ascii="Arial" w:eastAsia="Arial" w:hAnsi="Arial" w:cs="Arial"/>
                <w:color w:val="000000"/>
                <w:sz w:val="20"/>
                <w:szCs w:val="20"/>
              </w:rPr>
            </w:pPr>
            <w:r>
              <w:rPr>
                <w:rFonts w:ascii="Arial" w:eastAsia="Arial" w:hAnsi="Arial" w:cs="Arial"/>
                <w:color w:val="000000"/>
                <w:sz w:val="20"/>
                <w:szCs w:val="20"/>
              </w:rPr>
              <w:t xml:space="preserve">We have a process in place where we </w:t>
            </w:r>
            <w:proofErr w:type="gramStart"/>
            <w:r>
              <w:rPr>
                <w:rFonts w:ascii="Arial" w:eastAsia="Arial" w:hAnsi="Arial" w:cs="Arial"/>
                <w:color w:val="000000"/>
                <w:sz w:val="20"/>
                <w:szCs w:val="20"/>
              </w:rPr>
              <w:t>make adjustments to</w:t>
            </w:r>
            <w:proofErr w:type="gramEnd"/>
            <w:r>
              <w:rPr>
                <w:rFonts w:ascii="Arial" w:eastAsia="Arial" w:hAnsi="Arial" w:cs="Arial"/>
                <w:color w:val="000000"/>
                <w:sz w:val="20"/>
                <w:szCs w:val="20"/>
              </w:rPr>
              <w:t xml:space="preserve"> an </w:t>
            </w:r>
            <w:proofErr w:type="spellStart"/>
            <w:r>
              <w:rPr>
                <w:rFonts w:ascii="Arial" w:eastAsia="Arial" w:hAnsi="Arial" w:cs="Arial"/>
                <w:color w:val="000000"/>
                <w:sz w:val="20"/>
                <w:szCs w:val="20"/>
              </w:rPr>
              <w:t>EnB</w:t>
            </w:r>
            <w:proofErr w:type="spellEnd"/>
            <w:r>
              <w:rPr>
                <w:rFonts w:ascii="Arial" w:eastAsia="Arial" w:hAnsi="Arial" w:cs="Arial"/>
                <w:color w:val="000000"/>
                <w:sz w:val="20"/>
                <w:szCs w:val="20"/>
              </w:rPr>
              <w:t xml:space="preserve"> in the following instances:</w:t>
            </w:r>
          </w:p>
          <w:p w:rsidR="008624BA" w:rsidRDefault="00D91481">
            <w:pPr>
              <w:numPr>
                <w:ilvl w:val="0"/>
                <w:numId w:val="1"/>
              </w:numPr>
              <w:pBdr>
                <w:top w:val="nil"/>
                <w:left w:val="nil"/>
                <w:bottom w:val="nil"/>
                <w:right w:val="nil"/>
                <w:between w:val="nil"/>
              </w:pBdr>
              <w:spacing w:before="50" w:after="0" w:line="240" w:lineRule="auto"/>
              <w:ind w:left="459" w:right="-20" w:hanging="270"/>
              <w:rPr>
                <w:rFonts w:ascii="Arial" w:eastAsia="Arial" w:hAnsi="Arial" w:cs="Arial"/>
                <w:color w:val="000000"/>
                <w:sz w:val="20"/>
                <w:szCs w:val="20"/>
              </w:rPr>
            </w:pPr>
            <w:r>
              <w:rPr>
                <w:rFonts w:ascii="Arial" w:eastAsia="Arial" w:hAnsi="Arial" w:cs="Arial"/>
                <w:color w:val="000000"/>
                <w:sz w:val="20"/>
                <w:szCs w:val="20"/>
              </w:rPr>
              <w:t xml:space="preserve">When the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no longer accurately reflect the organization’s energy performance</w:t>
            </w:r>
          </w:p>
          <w:p w:rsidR="008624BA" w:rsidRDefault="00D91481">
            <w:pPr>
              <w:numPr>
                <w:ilvl w:val="0"/>
                <w:numId w:val="1"/>
              </w:numPr>
              <w:pBdr>
                <w:top w:val="nil"/>
                <w:left w:val="nil"/>
                <w:bottom w:val="nil"/>
                <w:right w:val="nil"/>
                <w:between w:val="nil"/>
              </w:pBdr>
              <w:spacing w:after="0" w:line="240" w:lineRule="auto"/>
              <w:ind w:left="459" w:right="-20" w:hanging="270"/>
              <w:rPr>
                <w:rFonts w:ascii="Arial" w:eastAsia="Arial" w:hAnsi="Arial" w:cs="Arial"/>
                <w:color w:val="000000"/>
                <w:sz w:val="20"/>
                <w:szCs w:val="20"/>
              </w:rPr>
            </w:pPr>
            <w:r>
              <w:rPr>
                <w:rFonts w:ascii="Arial" w:eastAsia="Arial" w:hAnsi="Arial" w:cs="Arial"/>
                <w:color w:val="000000"/>
                <w:sz w:val="20"/>
                <w:szCs w:val="20"/>
              </w:rPr>
              <w:t>When there are major changes to static factors, the process, operational patterns, or energy systems</w:t>
            </w:r>
          </w:p>
          <w:p w:rsidR="008624BA" w:rsidRDefault="00D91481">
            <w:pPr>
              <w:numPr>
                <w:ilvl w:val="0"/>
                <w:numId w:val="1"/>
              </w:numPr>
              <w:pBdr>
                <w:top w:val="nil"/>
                <w:left w:val="nil"/>
                <w:bottom w:val="nil"/>
                <w:right w:val="nil"/>
                <w:between w:val="nil"/>
              </w:pBdr>
              <w:spacing w:after="50" w:line="240" w:lineRule="auto"/>
              <w:ind w:left="459" w:right="-20" w:hanging="270"/>
              <w:rPr>
                <w:rFonts w:ascii="Arial" w:eastAsia="Arial" w:hAnsi="Arial" w:cs="Arial"/>
                <w:color w:val="000000"/>
                <w:sz w:val="20"/>
                <w:szCs w:val="20"/>
              </w:rPr>
            </w:pPr>
            <w:r>
              <w:rPr>
                <w:rFonts w:ascii="Arial" w:eastAsia="Arial" w:hAnsi="Arial" w:cs="Arial"/>
                <w:color w:val="000000"/>
                <w:sz w:val="20"/>
                <w:szCs w:val="20"/>
              </w:rPr>
              <w:t>According to a predetermined method</w:t>
            </w:r>
          </w:p>
        </w:tc>
        <w:tc>
          <w:tcPr>
            <w:tcW w:w="4950" w:type="dxa"/>
          </w:tcPr>
          <w:p w:rsidR="008624BA" w:rsidRDefault="00D91481">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 xml:space="preserve">We currently have calendar year 2019 as our </w:t>
            </w:r>
            <w:proofErr w:type="spellStart"/>
            <w:r>
              <w:rPr>
                <w:rFonts w:ascii="Arial" w:eastAsia="Arial" w:hAnsi="Arial" w:cs="Arial"/>
                <w:color w:val="0000FF"/>
                <w:sz w:val="20"/>
                <w:szCs w:val="20"/>
              </w:rPr>
              <w:t>EnB</w:t>
            </w:r>
            <w:proofErr w:type="spellEnd"/>
            <w:r>
              <w:rPr>
                <w:rFonts w:ascii="Arial" w:eastAsia="Arial" w:hAnsi="Arial" w:cs="Arial"/>
                <w:color w:val="0000FF"/>
                <w:sz w:val="20"/>
                <w:szCs w:val="20"/>
              </w:rPr>
              <w:t xml:space="preserve"> period, but will re-evaluate during Green Team meetings. For example, impacts such as pandemic-related business disruptions may require a future adjustment to the </w:t>
            </w:r>
            <w:proofErr w:type="spellStart"/>
            <w:r>
              <w:rPr>
                <w:rFonts w:ascii="Arial" w:eastAsia="Arial" w:hAnsi="Arial" w:cs="Arial"/>
                <w:color w:val="0000FF"/>
                <w:sz w:val="20"/>
                <w:szCs w:val="20"/>
              </w:rPr>
              <w:t>EnB</w:t>
            </w:r>
            <w:proofErr w:type="spellEnd"/>
            <w:r>
              <w:rPr>
                <w:rFonts w:ascii="Arial" w:eastAsia="Arial" w:hAnsi="Arial" w:cs="Arial"/>
                <w:color w:val="0000FF"/>
                <w:sz w:val="20"/>
                <w:szCs w:val="20"/>
              </w:rPr>
              <w:t>.</w:t>
            </w:r>
          </w:p>
        </w:tc>
      </w:tr>
      <w:tr w:rsidR="008624BA">
        <w:trPr>
          <w:trHeight w:val="242"/>
        </w:trPr>
        <w:tc>
          <w:tcPr>
            <w:tcW w:w="509" w:type="dxa"/>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251" w:type="dxa"/>
          </w:tcPr>
          <w:p w:rsidR="008624BA" w:rsidRDefault="00D91481">
            <w:pPr>
              <w:spacing w:before="50" w:after="50" w:line="240" w:lineRule="auto"/>
              <w:ind w:right="-20"/>
              <w:rPr>
                <w:rFonts w:ascii="Arial" w:eastAsia="Arial" w:hAnsi="Arial" w:cs="Arial"/>
                <w:color w:val="000000"/>
                <w:sz w:val="20"/>
                <w:szCs w:val="20"/>
              </w:rPr>
            </w:pPr>
            <w:r>
              <w:rPr>
                <w:rFonts w:ascii="Arial" w:eastAsia="Arial" w:hAnsi="Arial" w:cs="Arial"/>
                <w:color w:val="000000"/>
                <w:sz w:val="20"/>
                <w:szCs w:val="20"/>
              </w:rPr>
              <w:t xml:space="preserve">We maintain records of modifications and updates to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 xml:space="preserve"> to ensure energy performance measures remain relevant and meaningful.</w:t>
            </w:r>
          </w:p>
        </w:tc>
        <w:tc>
          <w:tcPr>
            <w:tcW w:w="4950" w:type="dxa"/>
          </w:tcPr>
          <w:p w:rsidR="008624BA" w:rsidRDefault="00D91481">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Yes, and we will use our recorded data to cross reference and adjust when necessary.</w:t>
            </w:r>
          </w:p>
        </w:tc>
      </w:tr>
    </w:tbl>
    <w:p w:rsidR="008624BA" w:rsidRDefault="008624BA">
      <w:pPr>
        <w:pBdr>
          <w:top w:val="nil"/>
          <w:left w:val="nil"/>
          <w:bottom w:val="nil"/>
          <w:right w:val="nil"/>
          <w:between w:val="nil"/>
        </w:pBdr>
        <w:spacing w:after="0"/>
        <w:ind w:left="-446" w:right="-576"/>
        <w:rPr>
          <w:rFonts w:ascii="Arial" w:eastAsia="Arial" w:hAnsi="Arial" w:cs="Arial"/>
          <w:color w:val="000000"/>
          <w:sz w:val="20"/>
          <w:szCs w:val="20"/>
          <w:u w:val="single"/>
        </w:rPr>
      </w:pPr>
    </w:p>
    <w:p w:rsidR="008624BA" w:rsidRDefault="00D91481">
      <w:pPr>
        <w:keepNext/>
        <w:numPr>
          <w:ilvl w:val="0"/>
          <w:numId w:val="2"/>
        </w:numPr>
        <w:pBdr>
          <w:top w:val="nil"/>
          <w:left w:val="nil"/>
          <w:bottom w:val="nil"/>
          <w:right w:val="nil"/>
          <w:between w:val="nil"/>
        </w:pBdr>
        <w:spacing w:after="240" w:line="240" w:lineRule="auto"/>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lastRenderedPageBreak/>
        <w:t xml:space="preserve">Implement a process for ongoing monitoring, measurement and analysis of your </w:t>
      </w:r>
      <w:proofErr w:type="spellStart"/>
      <w:r>
        <w:rPr>
          <w:rFonts w:ascii="Arial" w:eastAsia="Arial" w:hAnsi="Arial" w:cs="Arial"/>
          <w:color w:val="000000"/>
          <w:sz w:val="20"/>
          <w:szCs w:val="20"/>
          <w:u w:val="single"/>
        </w:rPr>
        <w:t>EnPIs</w:t>
      </w:r>
      <w:proofErr w:type="spellEnd"/>
      <w:r>
        <w:rPr>
          <w:rFonts w:ascii="Arial" w:eastAsia="Arial" w:hAnsi="Arial" w:cs="Arial"/>
          <w:color w:val="000000"/>
          <w:sz w:val="20"/>
          <w:szCs w:val="20"/>
          <w:u w:val="single"/>
        </w:rPr>
        <w:t xml:space="preserve">, </w:t>
      </w:r>
      <w:proofErr w:type="spellStart"/>
      <w:r>
        <w:rPr>
          <w:rFonts w:ascii="Arial" w:eastAsia="Arial" w:hAnsi="Arial" w:cs="Arial"/>
          <w:color w:val="000000"/>
          <w:sz w:val="20"/>
          <w:szCs w:val="20"/>
          <w:u w:val="single"/>
        </w:rPr>
        <w:t>EnBs</w:t>
      </w:r>
      <w:proofErr w:type="spellEnd"/>
      <w:r>
        <w:rPr>
          <w:rFonts w:ascii="Arial" w:eastAsia="Arial" w:hAnsi="Arial" w:cs="Arial"/>
          <w:color w:val="000000"/>
          <w:sz w:val="20"/>
          <w:szCs w:val="20"/>
          <w:u w:val="single"/>
        </w:rPr>
        <w:t>, and energy performance improvement</w:t>
      </w:r>
    </w:p>
    <w:tbl>
      <w:tblPr>
        <w:tblStyle w:val="a8"/>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5341"/>
        <w:gridCol w:w="4860"/>
      </w:tblGrid>
      <w:tr w:rsidR="008624BA">
        <w:trPr>
          <w:trHeight w:val="242"/>
        </w:trPr>
        <w:tc>
          <w:tcPr>
            <w:tcW w:w="509" w:type="dxa"/>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Calculated </w:t>
            </w:r>
            <w:proofErr w:type="spellStart"/>
            <w:r>
              <w:rPr>
                <w:rFonts w:ascii="Arial" w:eastAsia="Arial" w:hAnsi="Arial" w:cs="Arial"/>
                <w:color w:val="000000"/>
                <w:sz w:val="20"/>
                <w:szCs w:val="20"/>
              </w:rPr>
              <w:t>EnPI</w:t>
            </w:r>
            <w:proofErr w:type="spellEnd"/>
            <w:r>
              <w:rPr>
                <w:rFonts w:ascii="Arial" w:eastAsia="Arial" w:hAnsi="Arial" w:cs="Arial"/>
                <w:color w:val="000000"/>
                <w:sz w:val="20"/>
                <w:szCs w:val="20"/>
              </w:rPr>
              <w:t xml:space="preserve"> values and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 xml:space="preserve"> are recorded and reviewed on a regular basis.</w:t>
            </w:r>
          </w:p>
        </w:tc>
        <w:tc>
          <w:tcPr>
            <w:tcW w:w="4860" w:type="dxa"/>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Currently being done on a monthly basis but new methods of data collection using BMS may allow for more granular and frequent information to be collected.</w:t>
            </w:r>
          </w:p>
        </w:tc>
      </w:tr>
      <w:tr w:rsidR="008624BA">
        <w:trPr>
          <w:trHeight w:val="242"/>
        </w:trPr>
        <w:tc>
          <w:tcPr>
            <w:tcW w:w="509" w:type="dxa"/>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The components of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that are measured or calculated are managed for accuracy and repeatability in the energy data collection plan (as addressed in the Energy Data Collection and Analysis task). </w:t>
            </w:r>
          </w:p>
        </w:tc>
        <w:tc>
          <w:tcPr>
            <w:tcW w:w="4860" w:type="dxa"/>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Data from the BMS and meters are regularly reviewed for accuracy and anomalies by Engineering Department personnel.</w:t>
            </w:r>
          </w:p>
        </w:tc>
      </w:tr>
      <w:tr w:rsidR="008624BA">
        <w:trPr>
          <w:trHeight w:val="242"/>
        </w:trPr>
        <w:tc>
          <w:tcPr>
            <w:tcW w:w="509" w:type="dxa"/>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 xml:space="preserve">Top management’s review of energy performance includes a review of performance as determined by the </w:t>
            </w:r>
            <w:proofErr w:type="spellStart"/>
            <w:r>
              <w:rPr>
                <w:rFonts w:ascii="Arial" w:eastAsia="Arial" w:hAnsi="Arial" w:cs="Arial"/>
                <w:color w:val="000000"/>
                <w:sz w:val="20"/>
                <w:szCs w:val="20"/>
              </w:rPr>
              <w:t>EnPIs</w:t>
            </w:r>
            <w:proofErr w:type="spellEnd"/>
            <w:r>
              <w:rPr>
                <w:rFonts w:ascii="Arial" w:eastAsia="Arial" w:hAnsi="Arial" w:cs="Arial"/>
                <w:color w:val="000000"/>
                <w:sz w:val="20"/>
                <w:szCs w:val="20"/>
              </w:rPr>
              <w:t xml:space="preserve"> and the related </w:t>
            </w:r>
            <w:proofErr w:type="spellStart"/>
            <w:r>
              <w:rPr>
                <w:rFonts w:ascii="Arial" w:eastAsia="Arial" w:hAnsi="Arial" w:cs="Arial"/>
                <w:color w:val="000000"/>
                <w:sz w:val="20"/>
                <w:szCs w:val="20"/>
              </w:rPr>
              <w:t>EnBs</w:t>
            </w:r>
            <w:proofErr w:type="spellEnd"/>
            <w:r>
              <w:rPr>
                <w:rFonts w:ascii="Arial" w:eastAsia="Arial" w:hAnsi="Arial" w:cs="Arial"/>
                <w:color w:val="000000"/>
                <w:sz w:val="20"/>
                <w:szCs w:val="20"/>
              </w:rPr>
              <w:t xml:space="preserve">. </w:t>
            </w:r>
          </w:p>
        </w:tc>
        <w:tc>
          <w:tcPr>
            <w:tcW w:w="4860" w:type="dxa"/>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Top management will always be involved in the review process and will have the final word on any significant changes in strategy.</w:t>
            </w:r>
          </w:p>
        </w:tc>
      </w:tr>
      <w:tr w:rsidR="008624BA">
        <w:trPr>
          <w:trHeight w:val="242"/>
        </w:trPr>
        <w:tc>
          <w:tcPr>
            <w:tcW w:w="509" w:type="dxa"/>
          </w:tcPr>
          <w:p w:rsidR="008624BA" w:rsidRDefault="00D91481">
            <w:pPr>
              <w:keepNext/>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5341" w:type="dxa"/>
          </w:tcPr>
          <w:p w:rsidR="008624BA" w:rsidRDefault="00D91481">
            <w:pPr>
              <w:keepNext/>
              <w:spacing w:before="50" w:after="50" w:line="240" w:lineRule="auto"/>
              <w:ind w:right="-16"/>
              <w:rPr>
                <w:rFonts w:ascii="Arial" w:eastAsia="Arial" w:hAnsi="Arial" w:cs="Arial"/>
                <w:color w:val="000000"/>
                <w:sz w:val="20"/>
                <w:szCs w:val="20"/>
              </w:rPr>
            </w:pPr>
            <w:r>
              <w:rPr>
                <w:rFonts w:ascii="Arial" w:eastAsia="Arial" w:hAnsi="Arial" w:cs="Arial"/>
                <w:color w:val="000000"/>
                <w:sz w:val="20"/>
                <w:szCs w:val="20"/>
              </w:rPr>
              <w:t>Top management ensures changes are made when the above-mentioned metrics are no longer appropriate.</w:t>
            </w:r>
          </w:p>
        </w:tc>
        <w:tc>
          <w:tcPr>
            <w:tcW w:w="4860" w:type="dxa"/>
          </w:tcPr>
          <w:p w:rsidR="008624BA" w:rsidRDefault="00D91481">
            <w:pPr>
              <w:keepNext/>
              <w:spacing w:before="50" w:after="50" w:line="240" w:lineRule="auto"/>
              <w:rPr>
                <w:rFonts w:ascii="Arial" w:eastAsia="Arial" w:hAnsi="Arial" w:cs="Arial"/>
                <w:color w:val="0000FF"/>
                <w:sz w:val="20"/>
                <w:szCs w:val="20"/>
              </w:rPr>
            </w:pPr>
            <w:r>
              <w:rPr>
                <w:rFonts w:ascii="Arial" w:eastAsia="Arial" w:hAnsi="Arial" w:cs="Arial"/>
                <w:color w:val="0000FF"/>
                <w:sz w:val="20"/>
                <w:szCs w:val="20"/>
              </w:rPr>
              <w:t>See above.</w:t>
            </w:r>
          </w:p>
        </w:tc>
      </w:tr>
    </w:tbl>
    <w:p w:rsidR="008624BA" w:rsidRDefault="008624BA">
      <w:pPr>
        <w:spacing w:line="240" w:lineRule="auto"/>
        <w:ind w:left="-810" w:right="-720"/>
        <w:rPr>
          <w:rFonts w:ascii="Arial" w:eastAsia="Arial" w:hAnsi="Arial" w:cs="Arial"/>
          <w:color w:val="000000"/>
          <w:sz w:val="20"/>
          <w:szCs w:val="20"/>
        </w:rPr>
      </w:pPr>
    </w:p>
    <w:p w:rsidR="008624BA" w:rsidRDefault="00D91481">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9"/>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8624BA">
        <w:trPr>
          <w:trHeight w:val="179"/>
        </w:trPr>
        <w:tc>
          <w:tcPr>
            <w:tcW w:w="509" w:type="dxa"/>
            <w:vAlign w:val="center"/>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8624BA" w:rsidRDefault="00D91481">
            <w:pPr>
              <w:spacing w:before="50" w:after="50" w:line="240" w:lineRule="auto"/>
              <w:rPr>
                <w:rFonts w:ascii="Arial" w:eastAsia="Arial" w:hAnsi="Arial" w:cs="Arial"/>
                <w:color w:val="000000"/>
                <w:sz w:val="20"/>
                <w:szCs w:val="20"/>
              </w:rPr>
            </w:pPr>
            <w:r>
              <w:rPr>
                <w:color w:val="808080"/>
              </w:rPr>
              <w:t>Click here to enter a date.</w:t>
            </w:r>
          </w:p>
        </w:tc>
      </w:tr>
      <w:tr w:rsidR="008624BA">
        <w:trPr>
          <w:trHeight w:val="242"/>
        </w:trPr>
        <w:tc>
          <w:tcPr>
            <w:tcW w:w="509" w:type="dxa"/>
            <w:vAlign w:val="center"/>
          </w:tcPr>
          <w:p w:rsidR="008624BA" w:rsidRDefault="00D91481">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8624BA" w:rsidRDefault="00D91481">
            <w:pPr>
              <w:spacing w:before="50" w:after="50" w:line="240" w:lineRule="auto"/>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8624BA" w:rsidRDefault="00D91481">
            <w:pPr>
              <w:spacing w:before="50" w:after="50" w:line="240" w:lineRule="auto"/>
              <w:rPr>
                <w:rFonts w:ascii="Arial" w:eastAsia="Arial" w:hAnsi="Arial" w:cs="Arial"/>
                <w:color w:val="000000"/>
                <w:sz w:val="20"/>
                <w:szCs w:val="20"/>
              </w:rPr>
            </w:pPr>
            <w:r>
              <w:rPr>
                <w:color w:val="808080"/>
              </w:rPr>
              <w:t>Click here to enter text.</w:t>
            </w:r>
          </w:p>
        </w:tc>
      </w:tr>
    </w:tbl>
    <w:p w:rsidR="008624BA" w:rsidRDefault="008624BA">
      <w:pPr>
        <w:spacing w:line="240" w:lineRule="auto"/>
        <w:ind w:right="-720"/>
        <w:rPr>
          <w:rFonts w:ascii="Arial" w:eastAsia="Arial" w:hAnsi="Arial" w:cs="Arial"/>
          <w:color w:val="000000"/>
          <w:sz w:val="20"/>
          <w:szCs w:val="20"/>
          <w:u w:val="single"/>
        </w:rPr>
      </w:pPr>
    </w:p>
    <w:p w:rsidR="008624BA" w:rsidRDefault="00D91481">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8624BA" w:rsidRDefault="00D91481">
      <w:pPr>
        <w:spacing w:line="240" w:lineRule="auto"/>
        <w:ind w:left="-806"/>
        <w:rPr>
          <w:rFonts w:ascii="Arial" w:eastAsia="Arial" w:hAnsi="Arial" w:cs="Arial"/>
          <w:color w:val="000000"/>
          <w:sz w:val="20"/>
          <w:szCs w:val="20"/>
        </w:rPr>
      </w:pPr>
      <w:r>
        <w:rPr>
          <w:color w:val="808080"/>
        </w:rPr>
        <w:t>Click here to enter text.</w:t>
      </w:r>
    </w:p>
    <w:p w:rsidR="008624BA" w:rsidRDefault="008624BA">
      <w:pPr>
        <w:spacing w:line="240" w:lineRule="auto"/>
        <w:ind w:left="-810" w:right="-720"/>
        <w:rPr>
          <w:rFonts w:ascii="Arial" w:eastAsia="Arial" w:hAnsi="Arial" w:cs="Arial"/>
          <w:color w:val="000000"/>
          <w:sz w:val="20"/>
          <w:szCs w:val="20"/>
        </w:rPr>
      </w:pPr>
    </w:p>
    <w:sectPr w:rsidR="008624BA">
      <w:headerReference w:type="default" r:id="rId8"/>
      <w:footerReference w:type="even" r:id="rId9"/>
      <w:footerReference w:type="default" r:id="rId10"/>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1F1" w:rsidRDefault="00F161F1">
      <w:pPr>
        <w:spacing w:after="0" w:line="240" w:lineRule="auto"/>
      </w:pPr>
      <w:r>
        <w:separator/>
      </w:r>
    </w:p>
  </w:endnote>
  <w:endnote w:type="continuationSeparator" w:id="0">
    <w:p w:rsidR="00F161F1" w:rsidRDefault="00F16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4BA" w:rsidRDefault="00D91481">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8624BA" w:rsidRDefault="008624BA">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4BA" w:rsidRDefault="00D91481">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0635A5">
      <w:rPr>
        <w:noProof/>
        <w:color w:val="000000"/>
      </w:rPr>
      <w:t>1</w:t>
    </w:r>
    <w:r>
      <w:rPr>
        <w:color w:val="000000"/>
      </w:rPr>
      <w:fldChar w:fldCharType="end"/>
    </w:r>
  </w:p>
  <w:p w:rsidR="008624BA" w:rsidRDefault="00D91481">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-723899</wp:posOffset>
              </wp:positionH>
              <wp:positionV relativeFrom="paragraph">
                <wp:posOffset>419100</wp:posOffset>
              </wp:positionV>
              <wp:extent cx="4042029" cy="409575"/>
              <wp:effectExtent l="0" t="0" r="0" b="0"/>
              <wp:wrapNone/>
              <wp:docPr id="16" name="Rectangle 16"/>
              <wp:cNvGraphicFramePr/>
              <a:graphic xmlns:a="http://schemas.openxmlformats.org/drawingml/2006/main">
                <a:graphicData uri="http://schemas.microsoft.com/office/word/2010/wordprocessingShape">
                  <wps:wsp>
                    <wps:cNvSpPr/>
                    <wps:spPr>
                      <a:xfrm>
                        <a:off x="3329748" y="3579975"/>
                        <a:ext cx="4032504" cy="400050"/>
                      </a:xfrm>
                      <a:prstGeom prst="rect">
                        <a:avLst/>
                      </a:prstGeom>
                      <a:solidFill>
                        <a:schemeClr val="lt1"/>
                      </a:solidFill>
                      <a:ln>
                        <a:noFill/>
                      </a:ln>
                    </wps:spPr>
                    <wps:txbx>
                      <w:txbxContent>
                        <w:p w:rsidR="008624BA" w:rsidRDefault="00D91481">
                          <w:pPr>
                            <w:spacing w:after="60" w:line="258" w:lineRule="auto"/>
                            <w:ind w:right="360"/>
                            <w:textDirection w:val="btLr"/>
                          </w:pPr>
                          <w:r>
                            <w:rPr>
                              <w:i/>
                              <w:color w:val="000000"/>
                              <w:sz w:val="17"/>
                            </w:rPr>
                            <w:t>©2019, The Regents of the University of California – PB.11.01.02</w:t>
                          </w:r>
                        </w:p>
                        <w:p w:rsidR="008624BA" w:rsidRDefault="008624BA">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7pt;margin-top:33pt;width:318.2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" fillcolor="white [3201]" stroked="f">
              <v:textbox inset="2.53958mm,1.2694mm,2.53958mm,1.2694mm">
                <w:txbxContent>
                  <w:p w:rsidR="008624BA" w:rsidRDefault="00D91481">
                    <w:pPr>
                      <w:spacing w:after="60" w:line="258" w:lineRule="auto"/>
                      <w:ind w:right="360"/>
                      <w:textDirection w:val="btLr"/>
                    </w:pPr>
                    <w:r>
                      <w:rPr>
                        <w:i/>
                        <w:color w:val="000000"/>
                        <w:sz w:val="17"/>
                      </w:rPr>
                      <w:t>©2019, The Regents of the University of California – PB.11.01.02</w:t>
                    </w:r>
                  </w:p>
                  <w:p w:rsidR="008624BA" w:rsidRDefault="008624BA">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1F1" w:rsidRDefault="00F161F1">
      <w:pPr>
        <w:spacing w:after="0" w:line="240" w:lineRule="auto"/>
      </w:pPr>
      <w:r>
        <w:separator/>
      </w:r>
    </w:p>
  </w:footnote>
  <w:footnote w:type="continuationSeparator" w:id="0">
    <w:p w:rsidR="00F161F1" w:rsidRDefault="00F16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24BA" w:rsidRDefault="00D91481">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18" name="Rectangle 18"/>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8624BA" w:rsidRDefault="00D91481">
                          <w:pPr>
                            <w:spacing w:after="0" w:line="240" w:lineRule="auto"/>
                            <w:textDirection w:val="btLr"/>
                          </w:pPr>
                          <w:r>
                            <w:rPr>
                              <w:rFonts w:ascii="Arial" w:eastAsia="Arial" w:hAnsi="Arial" w:cs="Arial"/>
                              <w:color w:val="FFFFFF"/>
                              <w:sz w:val="32"/>
                            </w:rPr>
                            <w:t>Task 11: Energy Performance Indicators (</w:t>
                          </w:r>
                          <w:proofErr w:type="spellStart"/>
                          <w:r>
                            <w:rPr>
                              <w:rFonts w:ascii="Arial" w:eastAsia="Arial" w:hAnsi="Arial" w:cs="Arial"/>
                              <w:color w:val="FFFFFF"/>
                              <w:sz w:val="32"/>
                            </w:rPr>
                            <w:t>EnPIs</w:t>
                          </w:r>
                          <w:proofErr w:type="spellEnd"/>
                          <w:r>
                            <w:rPr>
                              <w:rFonts w:ascii="Arial" w:eastAsia="Arial" w:hAnsi="Arial" w:cs="Arial"/>
                              <w:color w:val="FFFFFF"/>
                              <w:sz w:val="32"/>
                            </w:rPr>
                            <w:t>) and Energy Baselines (</w:t>
                          </w:r>
                          <w:proofErr w:type="spellStart"/>
                          <w:r>
                            <w:rPr>
                              <w:rFonts w:ascii="Arial" w:eastAsia="Arial" w:hAnsi="Arial" w:cs="Arial"/>
                              <w:color w:val="FFFFFF"/>
                              <w:sz w:val="32"/>
                            </w:rPr>
                            <w:t>EnBs</w:t>
                          </w:r>
                          <w:proofErr w:type="spellEnd"/>
                          <w:r>
                            <w:rPr>
                              <w:rFonts w:ascii="Arial" w:eastAsia="Arial" w:hAnsi="Arial" w:cs="Arial"/>
                              <w:color w:val="FFFFFF"/>
                              <w:sz w:val="32"/>
                            </w:rPr>
                            <w:t>)</w:t>
                          </w:r>
                        </w:p>
                      </w:txbxContent>
                    </wps:txbx>
                    <wps:bodyPr spcFirstLastPara="1" wrap="square" lIns="91425" tIns="45700" rIns="91425" bIns="45700" anchor="ctr" anchorCtr="0">
                      <a:noAutofit/>
                    </wps:bodyPr>
                  </wps:wsp>
                </a:graphicData>
              </a:graphic>
            </wp:anchor>
          </w:drawing>
        </mc:Choice>
        <mc:Fallback>
          <w:pict>
            <v:rect id="Rectangle 18"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" fillcolor="#4e5992" stroked="f">
              <v:textbox inset="2.53958mm,1.2694mm,2.53958mm,1.2694mm">
                <w:txbxContent>
                  <w:p w:rsidR="008624BA" w:rsidRDefault="00D91481">
                    <w:pPr>
                      <w:spacing w:after="0" w:line="240" w:lineRule="auto"/>
                      <w:textDirection w:val="btLr"/>
                    </w:pPr>
                    <w:r>
                      <w:rPr>
                        <w:rFonts w:ascii="Arial" w:eastAsia="Arial" w:hAnsi="Arial" w:cs="Arial"/>
                        <w:color w:val="FFFFFF"/>
                        <w:sz w:val="32"/>
                      </w:rPr>
                      <w:t>Task 11: Energy Performance Indicators (</w:t>
                    </w:r>
                    <w:proofErr w:type="spellStart"/>
                    <w:r>
                      <w:rPr>
                        <w:rFonts w:ascii="Arial" w:eastAsia="Arial" w:hAnsi="Arial" w:cs="Arial"/>
                        <w:color w:val="FFFFFF"/>
                        <w:sz w:val="32"/>
                      </w:rPr>
                      <w:t>EnPIs</w:t>
                    </w:r>
                    <w:proofErr w:type="spellEnd"/>
                    <w:r>
                      <w:rPr>
                        <w:rFonts w:ascii="Arial" w:eastAsia="Arial" w:hAnsi="Arial" w:cs="Arial"/>
                        <w:color w:val="FFFFFF"/>
                        <w:sz w:val="32"/>
                      </w:rPr>
                      <w:t>) and Energy Baselines (</w:t>
                    </w:r>
                    <w:proofErr w:type="spellStart"/>
                    <w:r>
                      <w:rPr>
                        <w:rFonts w:ascii="Arial" w:eastAsia="Arial" w:hAnsi="Arial" w:cs="Arial"/>
                        <w:color w:val="FFFFFF"/>
                        <w:sz w:val="32"/>
                      </w:rPr>
                      <w:t>EnBs</w:t>
                    </w:r>
                    <w:proofErr w:type="spellEnd"/>
                    <w:r>
                      <w:rPr>
                        <w:rFonts w:ascii="Arial" w:eastAsia="Arial" w:hAnsi="Arial" w:cs="Arial"/>
                        <w:color w:val="FFFFFF"/>
                        <w:sz w:val="32"/>
                      </w:rPr>
                      <w:t>)</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8624BA" w:rsidRDefault="00D91481">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6cgk1+8BAAC0AwAADgAAAAAAAAAAAAAAAAAuAgAAZHJzL2Uy&#10;b0RvYy54bWxQSwECLQAUAAYACAAAACEAyoRGZ98AAAALAQAADwAAAAAAAAAAAAAAAABJBAAAZHJz&#10;L2Rvd25yZXYueG1sUEsFBgAAAAAEAAQA8wAAAFUFAAAAAA==&#10;" fillcolor="#00579d" stroked="f">
              <v:textbox inset="2.53958mm,1.2694mm,2.53958mm,1.2694mm">
                <w:txbxContent>
                  <w:p w:rsidR="008624BA" w:rsidRDefault="00D91481">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7" name="Rectangle: Rounded Corners 17"/>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8624BA" w:rsidRDefault="008624B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7"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" filled="f" strokecolor="black [3200]" strokeweight="1pt">
              <v:stroke startarrowwidth="narrow" startarrowlength="short" endarrowwidth="narrow" endarrowlength="short" joinstyle="miter"/>
              <v:textbox inset="2.53958mm,2.53958mm,2.53958mm,2.53958mm">
                <w:txbxContent>
                  <w:p w:rsidR="008624BA" w:rsidRDefault="008624BA">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95E74"/>
    <w:multiLevelType w:val="hybridMultilevel"/>
    <w:tmpl w:val="89CE3A38"/>
    <w:lvl w:ilvl="0" w:tplc="04090001">
      <w:start w:val="1"/>
      <w:numFmt w:val="bullet"/>
      <w:lvlText w:val=""/>
      <w:lvlJc w:val="left"/>
      <w:pPr>
        <w:ind w:left="1640" w:hanging="360"/>
      </w:pPr>
      <w:rPr>
        <w:rFonts w:ascii="Symbol" w:hAnsi="Symbol" w:hint="default"/>
      </w:rPr>
    </w:lvl>
    <w:lvl w:ilvl="1" w:tplc="04090003" w:tentative="1">
      <w:start w:val="1"/>
      <w:numFmt w:val="bullet"/>
      <w:lvlText w:val="o"/>
      <w:lvlJc w:val="left"/>
      <w:pPr>
        <w:ind w:left="2360" w:hanging="360"/>
      </w:pPr>
      <w:rPr>
        <w:rFonts w:ascii="Courier New" w:hAnsi="Courier New" w:cs="Courier New" w:hint="default"/>
      </w:rPr>
    </w:lvl>
    <w:lvl w:ilvl="2" w:tplc="04090005" w:tentative="1">
      <w:start w:val="1"/>
      <w:numFmt w:val="bullet"/>
      <w:lvlText w:val=""/>
      <w:lvlJc w:val="left"/>
      <w:pPr>
        <w:ind w:left="3080" w:hanging="360"/>
      </w:pPr>
      <w:rPr>
        <w:rFonts w:ascii="Wingdings" w:hAnsi="Wingdings" w:hint="default"/>
      </w:rPr>
    </w:lvl>
    <w:lvl w:ilvl="3" w:tplc="04090001" w:tentative="1">
      <w:start w:val="1"/>
      <w:numFmt w:val="bullet"/>
      <w:lvlText w:val=""/>
      <w:lvlJc w:val="left"/>
      <w:pPr>
        <w:ind w:left="3800" w:hanging="360"/>
      </w:pPr>
      <w:rPr>
        <w:rFonts w:ascii="Symbol" w:hAnsi="Symbol" w:hint="default"/>
      </w:rPr>
    </w:lvl>
    <w:lvl w:ilvl="4" w:tplc="04090003" w:tentative="1">
      <w:start w:val="1"/>
      <w:numFmt w:val="bullet"/>
      <w:lvlText w:val="o"/>
      <w:lvlJc w:val="left"/>
      <w:pPr>
        <w:ind w:left="4520" w:hanging="360"/>
      </w:pPr>
      <w:rPr>
        <w:rFonts w:ascii="Courier New" w:hAnsi="Courier New" w:cs="Courier New" w:hint="default"/>
      </w:rPr>
    </w:lvl>
    <w:lvl w:ilvl="5" w:tplc="04090005" w:tentative="1">
      <w:start w:val="1"/>
      <w:numFmt w:val="bullet"/>
      <w:lvlText w:val=""/>
      <w:lvlJc w:val="left"/>
      <w:pPr>
        <w:ind w:left="5240" w:hanging="360"/>
      </w:pPr>
      <w:rPr>
        <w:rFonts w:ascii="Wingdings" w:hAnsi="Wingdings" w:hint="default"/>
      </w:rPr>
    </w:lvl>
    <w:lvl w:ilvl="6" w:tplc="04090001" w:tentative="1">
      <w:start w:val="1"/>
      <w:numFmt w:val="bullet"/>
      <w:lvlText w:val=""/>
      <w:lvlJc w:val="left"/>
      <w:pPr>
        <w:ind w:left="5960" w:hanging="360"/>
      </w:pPr>
      <w:rPr>
        <w:rFonts w:ascii="Symbol" w:hAnsi="Symbol" w:hint="default"/>
      </w:rPr>
    </w:lvl>
    <w:lvl w:ilvl="7" w:tplc="04090003" w:tentative="1">
      <w:start w:val="1"/>
      <w:numFmt w:val="bullet"/>
      <w:lvlText w:val="o"/>
      <w:lvlJc w:val="left"/>
      <w:pPr>
        <w:ind w:left="6680" w:hanging="360"/>
      </w:pPr>
      <w:rPr>
        <w:rFonts w:ascii="Courier New" w:hAnsi="Courier New" w:cs="Courier New" w:hint="default"/>
      </w:rPr>
    </w:lvl>
    <w:lvl w:ilvl="8" w:tplc="04090005" w:tentative="1">
      <w:start w:val="1"/>
      <w:numFmt w:val="bullet"/>
      <w:lvlText w:val=""/>
      <w:lvlJc w:val="left"/>
      <w:pPr>
        <w:ind w:left="7400" w:hanging="360"/>
      </w:pPr>
      <w:rPr>
        <w:rFonts w:ascii="Wingdings" w:hAnsi="Wingdings" w:hint="default"/>
      </w:rPr>
    </w:lvl>
  </w:abstractNum>
  <w:abstractNum w:abstractNumId="1" w15:restartNumberingAfterBreak="0">
    <w:nsid w:val="05BB0878"/>
    <w:multiLevelType w:val="multilevel"/>
    <w:tmpl w:val="2CE0D3D6"/>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abstractNum w:abstractNumId="2" w15:restartNumberingAfterBreak="0">
    <w:nsid w:val="09B47FA8"/>
    <w:multiLevelType w:val="multilevel"/>
    <w:tmpl w:val="65A6E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F705B28"/>
    <w:multiLevelType w:val="hybridMultilevel"/>
    <w:tmpl w:val="B3008984"/>
    <w:lvl w:ilvl="0" w:tplc="8FC03410">
      <w:start w:val="1"/>
      <w:numFmt w:val="decimal"/>
      <w:lvlText w:val="%1."/>
      <w:lvlJc w:val="left"/>
      <w:pPr>
        <w:ind w:left="1640" w:hanging="360"/>
      </w:pPr>
      <w:rPr>
        <w:rFonts w:hint="default"/>
        <w:color w:val="FFFFFF" w:themeColor="background1"/>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4BA"/>
    <w:rsid w:val="00061DD4"/>
    <w:rsid w:val="000635A5"/>
    <w:rsid w:val="008624BA"/>
    <w:rsid w:val="00D233D1"/>
    <w:rsid w:val="00D91481"/>
    <w:rsid w:val="00F161F1"/>
    <w:rsid w:val="00FB36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110BB0"/>
    <w:rPr>
      <w:color w:val="808080"/>
    </w:rPr>
  </w:style>
  <w:style w:type="character" w:styleId="CommentReference">
    <w:name w:val="annotation reference"/>
    <w:basedOn w:val="DefaultParagraphFont"/>
    <w:uiPriority w:val="99"/>
    <w:semiHidden/>
    <w:unhideWhenUsed/>
    <w:rsid w:val="004F338E"/>
    <w:rPr>
      <w:sz w:val="16"/>
      <w:szCs w:val="16"/>
    </w:rPr>
  </w:style>
  <w:style w:type="paragraph" w:styleId="CommentText">
    <w:name w:val="annotation text"/>
    <w:basedOn w:val="Normal"/>
    <w:link w:val="CommentTextChar"/>
    <w:uiPriority w:val="99"/>
    <w:semiHidden/>
    <w:unhideWhenUsed/>
    <w:rsid w:val="004F338E"/>
    <w:pPr>
      <w:spacing w:line="240" w:lineRule="auto"/>
    </w:pPr>
    <w:rPr>
      <w:sz w:val="20"/>
      <w:szCs w:val="20"/>
    </w:rPr>
  </w:style>
  <w:style w:type="character" w:customStyle="1" w:styleId="CommentTextChar">
    <w:name w:val="Comment Text Char"/>
    <w:basedOn w:val="DefaultParagraphFont"/>
    <w:link w:val="CommentText"/>
    <w:uiPriority w:val="99"/>
    <w:semiHidden/>
    <w:rsid w:val="004F338E"/>
    <w:rPr>
      <w:sz w:val="20"/>
      <w:szCs w:val="20"/>
    </w:rPr>
  </w:style>
  <w:style w:type="paragraph" w:styleId="CommentSubject">
    <w:name w:val="annotation subject"/>
    <w:basedOn w:val="CommentText"/>
    <w:next w:val="CommentText"/>
    <w:link w:val="CommentSubjectChar"/>
    <w:uiPriority w:val="99"/>
    <w:semiHidden/>
    <w:unhideWhenUsed/>
    <w:rsid w:val="004F338E"/>
    <w:rPr>
      <w:b/>
      <w:bCs/>
    </w:rPr>
  </w:style>
  <w:style w:type="character" w:customStyle="1" w:styleId="CommentSubjectChar">
    <w:name w:val="Comment Subject Char"/>
    <w:basedOn w:val="CommentTextChar"/>
    <w:link w:val="CommentSubject"/>
    <w:uiPriority w:val="99"/>
    <w:semiHidden/>
    <w:rsid w:val="004F338E"/>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QA9o1WyHDDHIXRLZHXcGust0hg==">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Lawrence Berkeley National Laboratory</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Lino Sanchez</dc:creator>
  <cp:lastModifiedBy>Vestal Tutterow</cp:lastModifiedBy>
  <cp:revision>5</cp:revision>
  <dcterms:created xsi:type="dcterms:W3CDTF">2021-10-01T14:47:00Z</dcterms:created>
  <dcterms:modified xsi:type="dcterms:W3CDTF">2022-04-20T23:47:00Z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